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3B" w:rsidRPr="005B47AE" w:rsidRDefault="00B1283B" w:rsidP="00B1283B">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661B846F" wp14:editId="48B495A1">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9FE8E"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B1283B" w:rsidRPr="00C66A4D" w:rsidRDefault="00B1283B" w:rsidP="00B1283B">
      <w:pPr>
        <w:pStyle w:val="Subtitle"/>
        <w:spacing w:before="240"/>
        <w:rPr>
          <w:sz w:val="56"/>
          <w:szCs w:val="144"/>
        </w:rPr>
      </w:pPr>
      <w:r w:rsidRPr="00C66A4D">
        <w:rPr>
          <w:sz w:val="56"/>
          <w:szCs w:val="144"/>
        </w:rPr>
        <w:t xml:space="preserve">Scientific Director and CEO’s Report </w:t>
      </w:r>
    </w:p>
    <w:p w:rsidR="00B1283B" w:rsidRPr="00C66A4D" w:rsidRDefault="00B1283B" w:rsidP="00B1283B">
      <w:pPr>
        <w:pStyle w:val="Title"/>
        <w:spacing w:line="480" w:lineRule="auto"/>
        <w:rPr>
          <w:color w:val="00274A"/>
        </w:rPr>
      </w:pPr>
      <w:r>
        <w:rPr>
          <w:color w:val="00274A"/>
        </w:rPr>
        <w:t>November 23</w:t>
      </w:r>
      <w:r w:rsidRPr="00C66A4D">
        <w:rPr>
          <w:color w:val="00274A"/>
        </w:rPr>
        <w:t xml:space="preserve"> 2022</w:t>
      </w:r>
    </w:p>
    <w:p w:rsidR="00B1283B" w:rsidRPr="00B1283B" w:rsidRDefault="00B1283B" w:rsidP="00B1283B">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2DD0C44" wp14:editId="052C7130">
            <wp:simplePos x="0" y="0"/>
            <wp:positionH relativeFrom="column">
              <wp:posOffset>3261995</wp:posOffset>
            </wp:positionH>
            <wp:positionV relativeFrom="paragraph">
              <wp:posOffset>6617227</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7C2823" w:rsidRDefault="00DF021C">
          <w:pPr>
            <w:pStyle w:val="TOC1"/>
            <w:rPr>
              <w:rFonts w:eastAsiaTheme="minorEastAsia" w:cstheme="minorBidi"/>
              <w:b w:val="0"/>
              <w:bCs w:val="0"/>
              <w:kern w:val="2"/>
              <w:lang w:val="en-CA"/>
              <w14:ligatures w14:val="standardContextual"/>
            </w:rPr>
          </w:pPr>
          <w:r w:rsidRPr="00707EB3">
            <w:rPr>
              <w:rFonts w:ascii="Arial" w:hAnsi="Arial" w:cs="Arial"/>
              <w:b w:val="0"/>
              <w:bCs w:val="0"/>
              <w:noProof w:val="0"/>
            </w:rPr>
            <w:fldChar w:fldCharType="begin"/>
          </w:r>
          <w:r w:rsidRPr="00707EB3">
            <w:rPr>
              <w:rFonts w:ascii="Arial" w:hAnsi="Arial" w:cs="Arial"/>
              <w:b w:val="0"/>
              <w:bCs w:val="0"/>
            </w:rPr>
            <w:instrText xml:space="preserve"> TOC \o "1-3" \h \z \u </w:instrText>
          </w:r>
          <w:r w:rsidRPr="00707EB3">
            <w:rPr>
              <w:rFonts w:ascii="Arial" w:hAnsi="Arial" w:cs="Arial"/>
              <w:b w:val="0"/>
              <w:bCs w:val="0"/>
              <w:noProof w:val="0"/>
            </w:rPr>
            <w:fldChar w:fldCharType="separate"/>
          </w:r>
          <w:hyperlink w:anchor="_Toc139973523" w:history="1">
            <w:r w:rsidR="007C2823" w:rsidRPr="0094754B">
              <w:rPr>
                <w:rStyle w:val="Hyperlink"/>
              </w:rPr>
              <w:t>Section 1: High Level Progress Update</w:t>
            </w:r>
            <w:r w:rsidR="007C2823">
              <w:rPr>
                <w:webHidden/>
              </w:rPr>
              <w:tab/>
            </w:r>
            <w:r w:rsidR="007C2823">
              <w:rPr>
                <w:webHidden/>
              </w:rPr>
              <w:fldChar w:fldCharType="begin"/>
            </w:r>
            <w:r w:rsidR="007C2823">
              <w:rPr>
                <w:webHidden/>
              </w:rPr>
              <w:instrText xml:space="preserve"> PAGEREF _Toc139973523 \h </w:instrText>
            </w:r>
            <w:r w:rsidR="007C2823">
              <w:rPr>
                <w:webHidden/>
              </w:rPr>
            </w:r>
            <w:r w:rsidR="007C2823">
              <w:rPr>
                <w:webHidden/>
              </w:rPr>
              <w:fldChar w:fldCharType="separate"/>
            </w:r>
            <w:r w:rsidR="007C2823">
              <w:rPr>
                <w:webHidden/>
              </w:rPr>
              <w:t>3</w:t>
            </w:r>
            <w:r w:rsidR="007C2823">
              <w:rPr>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4" w:history="1">
            <w:r w:rsidR="007C2823" w:rsidRPr="0094754B">
              <w:rPr>
                <w:rStyle w:val="Hyperlink"/>
                <w:noProof/>
              </w:rPr>
              <w:t>Key progress since the last board meeting:</w:t>
            </w:r>
            <w:r w:rsidR="007C2823">
              <w:rPr>
                <w:noProof/>
                <w:webHidden/>
              </w:rPr>
              <w:tab/>
            </w:r>
            <w:r w:rsidR="007C2823">
              <w:rPr>
                <w:noProof/>
                <w:webHidden/>
              </w:rPr>
              <w:fldChar w:fldCharType="begin"/>
            </w:r>
            <w:r w:rsidR="007C2823">
              <w:rPr>
                <w:noProof/>
                <w:webHidden/>
              </w:rPr>
              <w:instrText xml:space="preserve"> PAGEREF _Toc139973524 \h </w:instrText>
            </w:r>
            <w:r w:rsidR="007C2823">
              <w:rPr>
                <w:noProof/>
                <w:webHidden/>
              </w:rPr>
            </w:r>
            <w:r w:rsidR="007C2823">
              <w:rPr>
                <w:noProof/>
                <w:webHidden/>
              </w:rPr>
              <w:fldChar w:fldCharType="separate"/>
            </w:r>
            <w:r w:rsidR="007C2823">
              <w:rPr>
                <w:noProof/>
                <w:webHidden/>
              </w:rPr>
              <w:t>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5" w:history="1">
            <w:r w:rsidR="007C2823" w:rsidRPr="0094754B">
              <w:rPr>
                <w:rStyle w:val="Hyperlink"/>
                <w:noProof/>
              </w:rPr>
              <w:t>Major milestones for coming quarter</w:t>
            </w:r>
            <w:r w:rsidR="007C2823">
              <w:rPr>
                <w:noProof/>
                <w:webHidden/>
              </w:rPr>
              <w:tab/>
            </w:r>
            <w:r w:rsidR="007C2823">
              <w:rPr>
                <w:noProof/>
                <w:webHidden/>
              </w:rPr>
              <w:fldChar w:fldCharType="begin"/>
            </w:r>
            <w:r w:rsidR="007C2823">
              <w:rPr>
                <w:noProof/>
                <w:webHidden/>
              </w:rPr>
              <w:instrText xml:space="preserve"> PAGEREF _Toc139973525 \h </w:instrText>
            </w:r>
            <w:r w:rsidR="007C2823">
              <w:rPr>
                <w:noProof/>
                <w:webHidden/>
              </w:rPr>
            </w:r>
            <w:r w:rsidR="007C2823">
              <w:rPr>
                <w:noProof/>
                <w:webHidden/>
              </w:rPr>
              <w:fldChar w:fldCharType="separate"/>
            </w:r>
            <w:r w:rsidR="007C2823">
              <w:rPr>
                <w:noProof/>
                <w:webHidden/>
              </w:rPr>
              <w:t>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6" w:history="1">
            <w:r w:rsidR="007C2823" w:rsidRPr="0094754B">
              <w:rPr>
                <w:rStyle w:val="Hyperlink"/>
                <w:noProof/>
              </w:rPr>
              <w:t>Anticipated and ongoing challenges</w:t>
            </w:r>
            <w:r w:rsidR="007C2823">
              <w:rPr>
                <w:noProof/>
                <w:webHidden/>
              </w:rPr>
              <w:tab/>
            </w:r>
            <w:r w:rsidR="007C2823">
              <w:rPr>
                <w:noProof/>
                <w:webHidden/>
              </w:rPr>
              <w:fldChar w:fldCharType="begin"/>
            </w:r>
            <w:r w:rsidR="007C2823">
              <w:rPr>
                <w:noProof/>
                <w:webHidden/>
              </w:rPr>
              <w:instrText xml:space="preserve"> PAGEREF _Toc139973526 \h </w:instrText>
            </w:r>
            <w:r w:rsidR="007C2823">
              <w:rPr>
                <w:noProof/>
                <w:webHidden/>
              </w:rPr>
            </w:r>
            <w:r w:rsidR="007C2823">
              <w:rPr>
                <w:noProof/>
                <w:webHidden/>
              </w:rPr>
              <w:fldChar w:fldCharType="separate"/>
            </w:r>
            <w:r w:rsidR="007C2823">
              <w:rPr>
                <w:noProof/>
                <w:webHidden/>
              </w:rPr>
              <w:t>4</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7" w:history="1">
            <w:r w:rsidR="007C2823" w:rsidRPr="0094754B">
              <w:rPr>
                <w:rStyle w:val="Hyperlink"/>
                <w:noProof/>
              </w:rPr>
              <w:t>High Level Key Performance Indicators</w:t>
            </w:r>
            <w:r w:rsidR="007C2823">
              <w:rPr>
                <w:noProof/>
                <w:webHidden/>
              </w:rPr>
              <w:tab/>
            </w:r>
            <w:r w:rsidR="007C2823">
              <w:rPr>
                <w:noProof/>
                <w:webHidden/>
              </w:rPr>
              <w:fldChar w:fldCharType="begin"/>
            </w:r>
            <w:r w:rsidR="007C2823">
              <w:rPr>
                <w:noProof/>
                <w:webHidden/>
              </w:rPr>
              <w:instrText xml:space="preserve"> PAGEREF _Toc139973527 \h </w:instrText>
            </w:r>
            <w:r w:rsidR="007C2823">
              <w:rPr>
                <w:noProof/>
                <w:webHidden/>
              </w:rPr>
            </w:r>
            <w:r w:rsidR="007C2823">
              <w:rPr>
                <w:noProof/>
                <w:webHidden/>
              </w:rPr>
              <w:fldChar w:fldCharType="separate"/>
            </w:r>
            <w:r w:rsidR="007C2823">
              <w:rPr>
                <w:noProof/>
                <w:webHidden/>
              </w:rPr>
              <w:t>5</w:t>
            </w:r>
            <w:r w:rsidR="007C2823">
              <w:rPr>
                <w:noProof/>
                <w:webHidden/>
              </w:rPr>
              <w:fldChar w:fldCharType="end"/>
            </w:r>
          </w:hyperlink>
        </w:p>
        <w:p w:rsidR="007C2823" w:rsidRDefault="00000000">
          <w:pPr>
            <w:pStyle w:val="TOC1"/>
            <w:rPr>
              <w:rFonts w:eastAsiaTheme="minorEastAsia" w:cstheme="minorBidi"/>
              <w:b w:val="0"/>
              <w:bCs w:val="0"/>
              <w:kern w:val="2"/>
              <w:lang w:val="en-CA"/>
              <w14:ligatures w14:val="standardContextual"/>
            </w:rPr>
          </w:pPr>
          <w:hyperlink w:anchor="_Toc139973528" w:history="1">
            <w:r w:rsidR="007C2823" w:rsidRPr="0094754B">
              <w:rPr>
                <w:rStyle w:val="Hyperlink"/>
              </w:rPr>
              <w:t>Section 2: Additional Information About HDRN Canada Progress and Core Work</w:t>
            </w:r>
            <w:r w:rsidR="007C2823">
              <w:rPr>
                <w:webHidden/>
              </w:rPr>
              <w:tab/>
            </w:r>
            <w:r w:rsidR="007C2823">
              <w:rPr>
                <w:webHidden/>
              </w:rPr>
              <w:fldChar w:fldCharType="begin"/>
            </w:r>
            <w:r w:rsidR="007C2823">
              <w:rPr>
                <w:webHidden/>
              </w:rPr>
              <w:instrText xml:space="preserve"> PAGEREF _Toc139973528 \h </w:instrText>
            </w:r>
            <w:r w:rsidR="007C2823">
              <w:rPr>
                <w:webHidden/>
              </w:rPr>
            </w:r>
            <w:r w:rsidR="007C2823">
              <w:rPr>
                <w:webHidden/>
              </w:rPr>
              <w:fldChar w:fldCharType="separate"/>
            </w:r>
            <w:r w:rsidR="007C2823">
              <w:rPr>
                <w:webHidden/>
              </w:rPr>
              <w:t>6</w:t>
            </w:r>
            <w:r w:rsidR="007C2823">
              <w:rPr>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29" w:history="1">
            <w:r w:rsidR="007C2823" w:rsidRPr="0094754B">
              <w:rPr>
                <w:rStyle w:val="Hyperlink"/>
                <w:noProof/>
              </w:rPr>
              <w:t>Goal 1: Develop and Improve Services and Supports for Data Access</w:t>
            </w:r>
            <w:r w:rsidR="007C2823">
              <w:rPr>
                <w:noProof/>
                <w:webHidden/>
              </w:rPr>
              <w:tab/>
            </w:r>
            <w:r w:rsidR="007C2823">
              <w:rPr>
                <w:noProof/>
                <w:webHidden/>
              </w:rPr>
              <w:fldChar w:fldCharType="begin"/>
            </w:r>
            <w:r w:rsidR="007C2823">
              <w:rPr>
                <w:noProof/>
                <w:webHidden/>
              </w:rPr>
              <w:instrText xml:space="preserve"> PAGEREF _Toc139973529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_Toc139973530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_Toc139973531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_Toc139973532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_Toc139973533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34" w:history="1">
            <w:r w:rsidR="007C2823" w:rsidRPr="0094754B">
              <w:rPr>
                <w:rStyle w:val="Hyperlink"/>
                <w:noProof/>
              </w:rPr>
              <w:t>Goal 2: Diversify and Harmonize Data, and Support Innovative and Privacy-Sensitive Data Use</w:t>
            </w:r>
            <w:r w:rsidR="007C2823">
              <w:rPr>
                <w:noProof/>
                <w:webHidden/>
              </w:rPr>
              <w:tab/>
            </w:r>
            <w:r w:rsidR="007C2823">
              <w:rPr>
                <w:noProof/>
                <w:webHidden/>
              </w:rPr>
              <w:fldChar w:fldCharType="begin"/>
            </w:r>
            <w:r w:rsidR="007C2823">
              <w:rPr>
                <w:noProof/>
                <w:webHidden/>
              </w:rPr>
              <w:instrText xml:space="preserve"> PAGEREF _Toc139973534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_Toc139973535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_Toc139973536 \h </w:instrText>
            </w:r>
            <w:r w:rsidR="007C2823">
              <w:rPr>
                <w:noProof/>
                <w:webHidden/>
              </w:rPr>
            </w:r>
            <w:r w:rsidR="007C2823">
              <w:rPr>
                <w:noProof/>
                <w:webHidden/>
              </w:rPr>
              <w:fldChar w:fldCharType="separate"/>
            </w:r>
            <w:r w:rsidR="007C2823">
              <w:rPr>
                <w:noProof/>
                <w:webHidden/>
              </w:rPr>
              <w:t>8</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7"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_Toc139973537 \h </w:instrText>
            </w:r>
            <w:r w:rsidR="007C2823">
              <w:rPr>
                <w:noProof/>
                <w:webHidden/>
              </w:rPr>
            </w:r>
            <w:r w:rsidR="007C2823">
              <w:rPr>
                <w:noProof/>
                <w:webHidden/>
              </w:rPr>
              <w:fldChar w:fldCharType="separate"/>
            </w:r>
            <w:r w:rsidR="007C2823">
              <w:rPr>
                <w:noProof/>
                <w:webHidden/>
              </w:rPr>
              <w:t>9</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8"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_Toc139973538 \h </w:instrText>
            </w:r>
            <w:r w:rsidR="007C2823">
              <w:rPr>
                <w:noProof/>
                <w:webHidden/>
              </w:rPr>
            </w:r>
            <w:r w:rsidR="007C2823">
              <w:rPr>
                <w:noProof/>
                <w:webHidden/>
              </w:rPr>
              <w:fldChar w:fldCharType="separate"/>
            </w:r>
            <w:r w:rsidR="007C2823">
              <w:rPr>
                <w:noProof/>
                <w:webHidden/>
              </w:rPr>
              <w:t>9</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39" w:history="1">
            <w:r w:rsidR="007C2823" w:rsidRPr="0094754B">
              <w:rPr>
                <w:rStyle w:val="Hyperlink"/>
                <w:noProof/>
              </w:rPr>
              <w:t>Goal 3: Ensure Purposeful and Ongoing Public and Community Involvement</w:t>
            </w:r>
            <w:r w:rsidR="007C2823">
              <w:rPr>
                <w:noProof/>
                <w:webHidden/>
              </w:rPr>
              <w:tab/>
            </w:r>
            <w:r w:rsidR="007C2823">
              <w:rPr>
                <w:noProof/>
                <w:webHidden/>
              </w:rPr>
              <w:fldChar w:fldCharType="begin"/>
            </w:r>
            <w:r w:rsidR="007C2823">
              <w:rPr>
                <w:noProof/>
                <w:webHidden/>
              </w:rPr>
              <w:instrText xml:space="preserve"> PAGEREF _Toc139973539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_Toc139973540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_Toc139973541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_Toc139973542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_Toc139973543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44" w:history="1">
            <w:r w:rsidR="007C2823" w:rsidRPr="0094754B">
              <w:rPr>
                <w:rStyle w:val="Hyperlink"/>
                <w:noProof/>
              </w:rPr>
              <w:t>Goal 4: Establish and Strengthen Partnerships and Provide Leadership for Evolving Data Practices</w:t>
            </w:r>
            <w:r w:rsidR="007C2823">
              <w:rPr>
                <w:noProof/>
                <w:webHidden/>
              </w:rPr>
              <w:tab/>
            </w:r>
            <w:r w:rsidR="007C2823">
              <w:rPr>
                <w:noProof/>
                <w:webHidden/>
              </w:rPr>
              <w:fldChar w:fldCharType="begin"/>
            </w:r>
            <w:r w:rsidR="007C2823">
              <w:rPr>
                <w:noProof/>
                <w:webHidden/>
              </w:rPr>
              <w:instrText xml:space="preserve"> PAGEREF _Toc139973544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_Toc139973545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_Toc139973546 \h </w:instrText>
            </w:r>
            <w:r w:rsidR="007C2823">
              <w:rPr>
                <w:noProof/>
                <w:webHidden/>
              </w:rPr>
            </w:r>
            <w:r w:rsidR="007C2823">
              <w:rPr>
                <w:noProof/>
                <w:webHidden/>
              </w:rPr>
              <w:fldChar w:fldCharType="separate"/>
            </w:r>
            <w:r w:rsidR="007C2823">
              <w:rPr>
                <w:noProof/>
                <w:webHidden/>
              </w:rPr>
              <w:t>12</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7"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_Toc139973547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8"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_Toc139973548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49" w:history="1">
            <w:r w:rsidR="007C2823" w:rsidRPr="0094754B">
              <w:rPr>
                <w:rStyle w:val="Hyperlink"/>
                <w:noProof/>
              </w:rPr>
              <w:t>Goal 5: Strengthen Data Use to Improve Equity, and Support Indigenous-led Data Sovereignty</w:t>
            </w:r>
            <w:r w:rsidR="007C2823">
              <w:rPr>
                <w:noProof/>
                <w:webHidden/>
              </w:rPr>
              <w:tab/>
            </w:r>
            <w:r w:rsidR="007C2823">
              <w:rPr>
                <w:noProof/>
                <w:webHidden/>
              </w:rPr>
              <w:fldChar w:fldCharType="begin"/>
            </w:r>
            <w:r w:rsidR="007C2823">
              <w:rPr>
                <w:noProof/>
                <w:webHidden/>
              </w:rPr>
              <w:instrText xml:space="preserve"> PAGEREF _Toc139973549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_Toc139973550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_Toc139973551 \h </w:instrText>
            </w:r>
            <w:r w:rsidR="007C2823">
              <w:rPr>
                <w:noProof/>
                <w:webHidden/>
              </w:rPr>
            </w:r>
            <w:r w:rsidR="007C2823">
              <w:rPr>
                <w:noProof/>
                <w:webHidden/>
              </w:rPr>
              <w:fldChar w:fldCharType="separate"/>
            </w:r>
            <w:r w:rsidR="007C2823">
              <w:rPr>
                <w:noProof/>
                <w:webHidden/>
              </w:rPr>
              <w:t>14</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_Toc139973552 \h </w:instrText>
            </w:r>
            <w:r w:rsidR="007C2823">
              <w:rPr>
                <w:noProof/>
                <w:webHidden/>
              </w:rPr>
            </w:r>
            <w:r w:rsidR="007C2823">
              <w:rPr>
                <w:noProof/>
                <w:webHidden/>
              </w:rPr>
              <w:fldChar w:fldCharType="separate"/>
            </w:r>
            <w:r w:rsidR="007C2823">
              <w:rPr>
                <w:noProof/>
                <w:webHidden/>
              </w:rPr>
              <w:t>15</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_Toc139973553 \h </w:instrText>
            </w:r>
            <w:r w:rsidR="007C2823">
              <w:rPr>
                <w:noProof/>
                <w:webHidden/>
              </w:rPr>
            </w:r>
            <w:r w:rsidR="007C2823">
              <w:rPr>
                <w:noProof/>
                <w:webHidden/>
              </w:rPr>
              <w:fldChar w:fldCharType="separate"/>
            </w:r>
            <w:r w:rsidR="007C2823">
              <w:rPr>
                <w:noProof/>
                <w:webHidden/>
              </w:rPr>
              <w:t>15</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54" w:history="1">
            <w:r w:rsidR="007C2823" w:rsidRPr="0094754B">
              <w:rPr>
                <w:rStyle w:val="Hyperlink"/>
                <w:noProof/>
              </w:rPr>
              <w:t>Success Factor: Cohesive Network with Effective and Sustainable Operations</w:t>
            </w:r>
            <w:r w:rsidR="007C2823">
              <w:rPr>
                <w:noProof/>
                <w:webHidden/>
              </w:rPr>
              <w:tab/>
            </w:r>
            <w:r w:rsidR="007C2823">
              <w:rPr>
                <w:noProof/>
                <w:webHidden/>
              </w:rPr>
              <w:fldChar w:fldCharType="begin"/>
            </w:r>
            <w:r w:rsidR="007C2823">
              <w:rPr>
                <w:noProof/>
                <w:webHidden/>
              </w:rPr>
              <w:instrText xml:space="preserve"> PAGEREF _Toc139973554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_Toc139973555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_Toc139973556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7" w:history="1">
            <w:r w:rsidR="007C2823" w:rsidRPr="0094754B">
              <w:rPr>
                <w:rStyle w:val="Hyperlink"/>
                <w:noProof/>
              </w:rPr>
              <w:t>Challenges and Risks</w:t>
            </w:r>
            <w:r w:rsidR="007C2823">
              <w:rPr>
                <w:noProof/>
                <w:webHidden/>
              </w:rPr>
              <w:tab/>
            </w:r>
            <w:r w:rsidR="007C2823">
              <w:rPr>
                <w:noProof/>
                <w:webHidden/>
              </w:rPr>
              <w:fldChar w:fldCharType="begin"/>
            </w:r>
            <w:r w:rsidR="007C2823">
              <w:rPr>
                <w:noProof/>
                <w:webHidden/>
              </w:rPr>
              <w:instrText xml:space="preserve"> PAGEREF _Toc139973557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58" w:history="1">
            <w:r w:rsidR="007C2823" w:rsidRPr="0094754B">
              <w:rPr>
                <w:rStyle w:val="Hyperlink"/>
                <w:noProof/>
              </w:rPr>
              <w:t>Success Factor: Supportive and Engaged Legislative and Policy Ecosystem and Community of Data Users</w:t>
            </w:r>
            <w:r w:rsidR="007C2823">
              <w:rPr>
                <w:noProof/>
                <w:webHidden/>
              </w:rPr>
              <w:tab/>
            </w:r>
            <w:r w:rsidR="007C2823">
              <w:rPr>
                <w:noProof/>
                <w:webHidden/>
              </w:rPr>
              <w:fldChar w:fldCharType="begin"/>
            </w:r>
            <w:r w:rsidR="007C2823">
              <w:rPr>
                <w:noProof/>
                <w:webHidden/>
              </w:rPr>
              <w:instrText xml:space="preserve"> PAGEREF _Toc139973558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9" w:history="1">
            <w:r w:rsidR="007C2823" w:rsidRPr="0094754B">
              <w:rPr>
                <w:rStyle w:val="Hyperlink"/>
                <w:noProof/>
              </w:rPr>
              <w:t>Key developments and successes since last meeting</w:t>
            </w:r>
            <w:r w:rsidR="007C2823">
              <w:rPr>
                <w:noProof/>
                <w:webHidden/>
              </w:rPr>
              <w:tab/>
            </w:r>
            <w:r w:rsidR="007C2823">
              <w:rPr>
                <w:noProof/>
                <w:webHidden/>
              </w:rPr>
              <w:fldChar w:fldCharType="begin"/>
            </w:r>
            <w:r w:rsidR="007C2823">
              <w:rPr>
                <w:noProof/>
                <w:webHidden/>
              </w:rPr>
              <w:instrText xml:space="preserve"> PAGEREF _Toc139973559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60"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_Toc139973560 \h </w:instrText>
            </w:r>
            <w:r w:rsidR="007C2823">
              <w:rPr>
                <w:noProof/>
                <w:webHidden/>
              </w:rPr>
            </w:r>
            <w:r w:rsidR="007C2823">
              <w:rPr>
                <w:noProof/>
                <w:webHidden/>
              </w:rPr>
              <w:fldChar w:fldCharType="separate"/>
            </w:r>
            <w:r w:rsidR="007C2823">
              <w:rPr>
                <w:noProof/>
                <w:webHidden/>
              </w:rPr>
              <w:t>17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61" w:history="1">
            <w:r w:rsidR="007C2823" w:rsidRPr="0094754B">
              <w:rPr>
                <w:rStyle w:val="Hyperlink"/>
                <w:noProof/>
              </w:rPr>
              <w:t>Challenges and Risks</w:t>
            </w:r>
            <w:r w:rsidR="007C2823">
              <w:rPr>
                <w:noProof/>
                <w:webHidden/>
              </w:rPr>
              <w:tab/>
            </w:r>
            <w:r w:rsidR="007C2823">
              <w:rPr>
                <w:noProof/>
                <w:webHidden/>
              </w:rPr>
              <w:fldChar w:fldCharType="begin"/>
            </w:r>
            <w:r w:rsidR="007C2823">
              <w:rPr>
                <w:noProof/>
                <w:webHidden/>
              </w:rPr>
              <w:instrText xml:space="preserve"> PAGEREF _Toc139973561 \h </w:instrText>
            </w:r>
            <w:r w:rsidR="007C2823">
              <w:rPr>
                <w:noProof/>
                <w:webHidden/>
              </w:rPr>
            </w:r>
            <w:r w:rsidR="007C2823">
              <w:rPr>
                <w:noProof/>
                <w:webHidden/>
              </w:rPr>
              <w:fldChar w:fldCharType="separate"/>
            </w:r>
            <w:r w:rsidR="007C2823">
              <w:rPr>
                <w:noProof/>
                <w:webHidden/>
              </w:rPr>
              <w:t>17</w:t>
            </w:r>
            <w:r w:rsidR="007C2823">
              <w:rPr>
                <w:noProof/>
                <w:webHidden/>
              </w:rPr>
              <w:fldChar w:fldCharType="end"/>
            </w:r>
          </w:hyperlink>
        </w:p>
        <w:p w:rsidR="00DF021C" w:rsidRPr="004A0518" w:rsidRDefault="00DF021C" w:rsidP="004A0518">
          <w:pPr>
            <w:spacing w:line="276" w:lineRule="auto"/>
            <w:rPr>
              <w:b/>
              <w:bCs/>
              <w:szCs w:val="24"/>
            </w:rPr>
          </w:pPr>
          <w:r w:rsidRPr="00707EB3">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C2823" w:rsidRPr="004E632E" w:rsidRDefault="007C2823" w:rsidP="004E632E">
      <w:r w:rsidRPr="001A362B">
        <w:rPr>
          <w:b/>
        </w:rPr>
        <w:lastRenderedPageBreak/>
        <w:t xml:space="preserve">Overview: </w:t>
      </w:r>
      <w:r w:rsidR="004E632E" w:rsidRPr="00937003">
        <w:t xml:space="preserve">The first section of this report highlights major initiatives and accomplishments since the last Board meeting in </w:t>
      </w:r>
      <w:r w:rsidR="004E632E">
        <w:t>February</w:t>
      </w:r>
      <w:r w:rsidR="004E632E" w:rsidRPr="00937003">
        <w:t xml:space="preserve"> 202</w:t>
      </w:r>
      <w:r w:rsidR="004E632E">
        <w:t>2</w:t>
      </w:r>
      <w:r w:rsidR="004E632E" w:rsidRPr="00937003">
        <w:t xml:space="preserve">, major new milestones for the coming quarter, and anticipated challenges. Following this overview, the remainder of the document offers additional details on areas of significant investment and / or importance to HDRN Canada’s mission. </w:t>
      </w:r>
    </w:p>
    <w:p w:rsidR="007C2823" w:rsidRPr="00D93215" w:rsidRDefault="007C2823" w:rsidP="007C2823">
      <w:pPr>
        <w:pStyle w:val="Heading1"/>
      </w:pPr>
      <w:bookmarkStart w:id="0" w:name="_Toc139973523"/>
      <w:r>
        <w:t xml:space="preserve">Section 1: </w:t>
      </w:r>
      <w:bookmarkEnd w:id="0"/>
      <w:r w:rsidR="004E632E">
        <w:t>Highlights</w:t>
      </w:r>
    </w:p>
    <w:p w:rsidR="00707EB3" w:rsidRPr="00707EB3" w:rsidRDefault="00707EB3" w:rsidP="00707EB3">
      <w:pPr>
        <w:pStyle w:val="Heading3"/>
      </w:pPr>
      <w:bookmarkStart w:id="1" w:name="_Toc139973524"/>
      <w:r w:rsidRPr="00707EB3">
        <w:t>Key progress since the last board meeting:</w:t>
      </w:r>
      <w:bookmarkEnd w:id="1"/>
    </w:p>
    <w:p w:rsidR="004E632E" w:rsidRPr="00F7554F" w:rsidRDefault="004E632E" w:rsidP="004E632E">
      <w:pPr>
        <w:pStyle w:val="ListParagraph"/>
        <w:numPr>
          <w:ilvl w:val="0"/>
          <w:numId w:val="139"/>
        </w:numPr>
      </w:pPr>
      <w:bookmarkStart w:id="2" w:name="_Toc139973525"/>
      <w:r w:rsidRPr="00F7554F">
        <w:t xml:space="preserve">HDRN Canada was successful in its application to the CIHR Pragmatic Trials Training Grant Application. This is the application that was led by Dr. Amit Garg and funding will flow to Western University. The grant period is September 1, 2022-August 30, 2025 and $3.48 million over 3 years. </w:t>
      </w:r>
      <w:r w:rsidRPr="004E632E">
        <w:rPr>
          <w:i/>
          <w:iCs/>
        </w:rPr>
        <w:t xml:space="preserve">This news is currently under embargo, until CIHR makes a formal announcement. </w:t>
      </w:r>
    </w:p>
    <w:p w:rsidR="004E632E" w:rsidRPr="004E632E" w:rsidRDefault="004E632E" w:rsidP="004E632E">
      <w:pPr>
        <w:pStyle w:val="ListParagraph"/>
        <w:numPr>
          <w:ilvl w:val="0"/>
          <w:numId w:val="139"/>
        </w:numPr>
        <w:rPr>
          <w:rFonts w:asciiTheme="minorHAnsi" w:hAnsiTheme="minorHAnsi"/>
          <w:b/>
          <w:bCs/>
        </w:rPr>
      </w:pPr>
      <w:r w:rsidRPr="004E632E">
        <w:rPr>
          <w:rFonts w:asciiTheme="minorHAnsi" w:hAnsiTheme="minorHAnsi"/>
        </w:rPr>
        <w:t xml:space="preserve">HDRN Canada also supported a CIHR Clinical Trials Platform Grant that was successful (and also under embargo). It is to be determined what HDRN Canada’s role in this grant will be. </w:t>
      </w:r>
    </w:p>
    <w:p w:rsidR="004E632E" w:rsidRDefault="004E632E" w:rsidP="004E632E">
      <w:pPr>
        <w:pStyle w:val="ListParagraph"/>
        <w:numPr>
          <w:ilvl w:val="0"/>
          <w:numId w:val="139"/>
        </w:numPr>
      </w:pPr>
      <w:r w:rsidRPr="00F7554F">
        <w:t xml:space="preserve">The Health Data Social </w:t>
      </w:r>
      <w:proofErr w:type="spellStart"/>
      <w:r w:rsidRPr="00F7554F">
        <w:t>Licence</w:t>
      </w:r>
      <w:proofErr w:type="spellEnd"/>
      <w:r w:rsidRPr="00F7554F">
        <w:t xml:space="preserve"> White Paper now referred to as “Social </w:t>
      </w:r>
      <w:proofErr w:type="spellStart"/>
      <w:r w:rsidRPr="00F7554F">
        <w:t>Licence</w:t>
      </w:r>
      <w:proofErr w:type="spellEnd"/>
      <w:r w:rsidRPr="00F7554F">
        <w:t xml:space="preserve"> </w:t>
      </w:r>
      <w:proofErr w:type="gramStart"/>
      <w:r w:rsidRPr="00F7554F">
        <w:t>For</w:t>
      </w:r>
      <w:proofErr w:type="gramEnd"/>
      <w:r w:rsidRPr="00F7554F">
        <w:t xml:space="preserve"> Uses Of Health Data. A Report </w:t>
      </w:r>
      <w:proofErr w:type="gramStart"/>
      <w:r w:rsidRPr="00F7554F">
        <w:t>On</w:t>
      </w:r>
      <w:proofErr w:type="gramEnd"/>
      <w:r w:rsidRPr="00F7554F">
        <w:t xml:space="preserve"> Public Perspectives” </w:t>
      </w:r>
      <w:r>
        <w:t>was</w:t>
      </w:r>
      <w:r w:rsidRPr="00F7554F">
        <w:t xml:space="preserve"> finalized and was very well received by the Public Health Agency of Canada. A communications plan for the report is now being developed.</w:t>
      </w:r>
    </w:p>
    <w:p w:rsidR="004E632E" w:rsidRDefault="004E632E" w:rsidP="004E632E">
      <w:pPr>
        <w:pStyle w:val="ListParagraph"/>
        <w:numPr>
          <w:ilvl w:val="0"/>
          <w:numId w:val="139"/>
        </w:numPr>
      </w:pPr>
      <w:r>
        <w:t>HDRN Canada submitted a large grant application to the Strategic Science Fund on September 19</w:t>
      </w:r>
      <w:r w:rsidRPr="004E632E">
        <w:rPr>
          <w:vertAlign w:val="superscript"/>
        </w:rPr>
        <w:t>th</w:t>
      </w:r>
      <w:r>
        <w:t xml:space="preserve"> to create a platform to gather real world data for real world evidence. Applicants will be notified in spring 2023 if they were successful. </w:t>
      </w:r>
    </w:p>
    <w:p w:rsidR="00707EB3" w:rsidRPr="00F7554F" w:rsidRDefault="00707EB3" w:rsidP="00707EB3">
      <w:pPr>
        <w:pStyle w:val="Heading3"/>
      </w:pPr>
      <w:r w:rsidRPr="00F7554F">
        <w:t>Major milestones for coming quarter</w:t>
      </w:r>
      <w:bookmarkEnd w:id="2"/>
    </w:p>
    <w:p w:rsidR="004E632E" w:rsidRPr="004E632E" w:rsidRDefault="004E632E" w:rsidP="004E632E">
      <w:pPr>
        <w:pStyle w:val="ListParagraph"/>
        <w:numPr>
          <w:ilvl w:val="0"/>
          <w:numId w:val="140"/>
        </w:numPr>
        <w:rPr>
          <w:bCs/>
        </w:rPr>
      </w:pPr>
      <w:r w:rsidRPr="00F7554F">
        <w:t xml:space="preserve">HDRN Canada’s interim evaluation is underway and the report will be finalized in December 2022/January 2023. </w:t>
      </w:r>
    </w:p>
    <w:p w:rsidR="004E632E" w:rsidRPr="004E632E" w:rsidRDefault="004E632E" w:rsidP="004E632E">
      <w:pPr>
        <w:pStyle w:val="ListParagraph"/>
        <w:numPr>
          <w:ilvl w:val="0"/>
          <w:numId w:val="140"/>
        </w:numPr>
        <w:rPr>
          <w:rFonts w:eastAsia="Calibri"/>
        </w:rPr>
      </w:pPr>
      <w:r w:rsidRPr="004E632E">
        <w:rPr>
          <w:rFonts w:eastAsia="Calibri"/>
        </w:rPr>
        <w:t>Privacy Team deliverables “Guidelines: How Privacy Compliance and Research Ethics Board Approval Work Together for Research Using Administrative Data -Top 10 Misunderstandings” and the “HDRN Canada Data Sharing Agreement Checklist” are being translated and will be added to the HDRN Canada website as resources for researchers in the near future.</w:t>
      </w:r>
    </w:p>
    <w:p w:rsidR="00707EB3" w:rsidRPr="00F7554F" w:rsidRDefault="00707EB3" w:rsidP="00707EB3">
      <w:pPr>
        <w:pStyle w:val="Heading3"/>
      </w:pPr>
      <w:bookmarkStart w:id="3" w:name="_Toc139973526"/>
      <w:r w:rsidRPr="00F7554F">
        <w:lastRenderedPageBreak/>
        <w:t>Anticipated and ongoing challenges</w:t>
      </w:r>
      <w:bookmarkEnd w:id="3"/>
    </w:p>
    <w:p w:rsidR="004E632E" w:rsidRPr="00F7554F" w:rsidRDefault="004E632E" w:rsidP="004E632E">
      <w:pPr>
        <w:rPr>
          <w:b/>
        </w:rPr>
      </w:pPr>
      <w:r w:rsidRPr="00F7554F">
        <w:t>Staffing remains a challenge. HDRN Canada is working to fill vacancies as quickly as possible to ensure momentum is not lost.</w:t>
      </w:r>
      <w:r>
        <w:t xml:space="preserve"> HDRN Canada’s Central Team is helping to advance work where possible until staffing vacancies can be filled. </w:t>
      </w:r>
    </w:p>
    <w:p w:rsidR="007C2823" w:rsidRDefault="007C2823" w:rsidP="007C2823">
      <w:r>
        <w:br w:type="page"/>
      </w:r>
    </w:p>
    <w:p w:rsidR="00707EB3" w:rsidRDefault="00707EB3" w:rsidP="007C2823">
      <w:pPr>
        <w:pStyle w:val="Heading3"/>
      </w:pPr>
      <w:r>
        <w:lastRenderedPageBreak/>
        <w:t xml:space="preserve"> </w:t>
      </w:r>
      <w:bookmarkStart w:id="4" w:name="_Toc139973527"/>
      <w:r>
        <w:t>High Level Key Performance Indicators</w:t>
      </w:r>
      <w:bookmarkEnd w:id="4"/>
    </w:p>
    <w:tbl>
      <w:tblPr>
        <w:tblStyle w:val="TableGrid"/>
        <w:tblW w:w="0" w:type="auto"/>
        <w:tblLook w:val="04A0" w:firstRow="1" w:lastRow="0" w:firstColumn="1" w:lastColumn="0" w:noHBand="0" w:noVBand="1"/>
      </w:tblPr>
      <w:tblGrid>
        <w:gridCol w:w="2882"/>
        <w:gridCol w:w="3126"/>
        <w:gridCol w:w="3782"/>
      </w:tblGrid>
      <w:tr w:rsidR="004E632E" w:rsidRPr="004E632E" w:rsidTr="004E632E">
        <w:tc>
          <w:tcPr>
            <w:tcW w:w="0" w:type="auto"/>
            <w:shd w:val="clear" w:color="auto" w:fill="006A78"/>
          </w:tcPr>
          <w:p w:rsidR="004E632E" w:rsidRPr="004E632E" w:rsidRDefault="004E632E" w:rsidP="004E632E">
            <w:pPr>
              <w:pStyle w:val="NoSpacing"/>
              <w:spacing w:line="360" w:lineRule="auto"/>
              <w:rPr>
                <w:rFonts w:ascii="Lato" w:hAnsi="Lato"/>
                <w:b/>
                <w:color w:val="FFFFFF" w:themeColor="background1"/>
                <w:sz w:val="24"/>
                <w:szCs w:val="24"/>
                <w:lang w:val="en-CA"/>
              </w:rPr>
            </w:pPr>
            <w:r w:rsidRPr="004E632E">
              <w:rPr>
                <w:rFonts w:ascii="Lato" w:hAnsi="Lato"/>
                <w:b/>
                <w:color w:val="FFFFFF" w:themeColor="background1"/>
                <w:sz w:val="24"/>
                <w:szCs w:val="24"/>
                <w:lang w:val="en-CA"/>
              </w:rPr>
              <w:t>Strategic Goal</w:t>
            </w:r>
          </w:p>
        </w:tc>
        <w:tc>
          <w:tcPr>
            <w:tcW w:w="0" w:type="auto"/>
            <w:shd w:val="clear" w:color="auto" w:fill="006A78"/>
          </w:tcPr>
          <w:p w:rsidR="004E632E" w:rsidRPr="004E632E" w:rsidRDefault="004E632E" w:rsidP="004E632E">
            <w:pPr>
              <w:pStyle w:val="NoSpacing"/>
              <w:spacing w:line="360" w:lineRule="auto"/>
              <w:rPr>
                <w:rFonts w:ascii="Lato" w:hAnsi="Lato"/>
                <w:b/>
                <w:color w:val="FFFFFF" w:themeColor="background1"/>
                <w:sz w:val="24"/>
                <w:szCs w:val="24"/>
                <w:lang w:val="en-CA"/>
              </w:rPr>
            </w:pPr>
            <w:r w:rsidRPr="004E632E">
              <w:rPr>
                <w:rFonts w:ascii="Lato" w:hAnsi="Lato"/>
                <w:b/>
                <w:color w:val="FFFFFF" w:themeColor="background1"/>
                <w:sz w:val="24"/>
                <w:szCs w:val="24"/>
                <w:lang w:val="en-CA"/>
              </w:rPr>
              <w:t>Indicator</w:t>
            </w:r>
          </w:p>
        </w:tc>
        <w:tc>
          <w:tcPr>
            <w:tcW w:w="0" w:type="auto"/>
            <w:shd w:val="clear" w:color="auto" w:fill="006A78"/>
          </w:tcPr>
          <w:p w:rsidR="004E632E" w:rsidRPr="004E632E" w:rsidRDefault="004E632E" w:rsidP="004E632E">
            <w:pPr>
              <w:pStyle w:val="NoSpacing"/>
              <w:spacing w:line="360" w:lineRule="auto"/>
              <w:rPr>
                <w:rFonts w:ascii="Lato" w:hAnsi="Lato"/>
                <w:b/>
                <w:color w:val="FFFFFF" w:themeColor="background1"/>
                <w:sz w:val="24"/>
                <w:szCs w:val="24"/>
                <w:lang w:val="en-CA"/>
              </w:rPr>
            </w:pPr>
            <w:r w:rsidRPr="004E632E">
              <w:rPr>
                <w:rFonts w:ascii="Lato" w:hAnsi="Lato"/>
                <w:b/>
                <w:color w:val="FFFFFF" w:themeColor="background1"/>
                <w:sz w:val="24"/>
                <w:szCs w:val="24"/>
                <w:lang w:val="en-CA"/>
              </w:rPr>
              <w:t>Number</w:t>
            </w:r>
          </w:p>
        </w:tc>
      </w:tr>
      <w:tr w:rsidR="004E632E" w:rsidRPr="004E632E" w:rsidTr="00693A3D">
        <w:trPr>
          <w:trHeight w:val="527"/>
        </w:trPr>
        <w:tc>
          <w:tcPr>
            <w:tcW w:w="0" w:type="auto"/>
            <w:vMerge w:val="restart"/>
          </w:tcPr>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r w:rsidRPr="004E632E">
              <w:rPr>
                <w:bCs/>
                <w:sz w:val="24"/>
                <w:szCs w:val="24"/>
                <w:lang w:val="en-CA"/>
              </w:rPr>
              <w:t>Develop and Improve Services and Supports for Data Access</w:t>
            </w: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of visits to the DASH website</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Total unique visitors from September</w:t>
            </w:r>
            <w:r>
              <w:rPr>
                <w:bCs/>
                <w:sz w:val="24"/>
                <w:szCs w:val="24"/>
                <w:lang w:val="en-CA"/>
              </w:rPr>
              <w:t xml:space="preserve"> </w:t>
            </w:r>
            <w:r w:rsidRPr="004E632E">
              <w:rPr>
                <w:bCs/>
                <w:sz w:val="24"/>
                <w:szCs w:val="24"/>
                <w:lang w:val="en-CA"/>
              </w:rPr>
              <w:t>15, 2022 – October 15, 2022: 211</w:t>
            </w:r>
          </w:p>
        </w:tc>
      </w:tr>
      <w:tr w:rsidR="004E632E" w:rsidRPr="004E632E" w:rsidTr="00693A3D">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of visits to the Dataset Inventory website</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Total unique visitors from September 15, 2022 – October 15, 2022: 152</w:t>
            </w:r>
          </w:p>
        </w:tc>
      </w:tr>
      <w:tr w:rsidR="004E632E" w:rsidRPr="004E632E" w:rsidTr="00693A3D">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xml:space="preserve"># of intake forms received to date and since the last Board meeting </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91 intake forms received to date, 6 of which were received since September 15, 2022</w:t>
            </w:r>
          </w:p>
        </w:tc>
      </w:tr>
      <w:tr w:rsidR="004E632E" w:rsidRPr="004E632E" w:rsidTr="00693A3D">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xml:space="preserve"># of data access request forms received to date and since the last Board meeting </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17 data access request forms received to date, 2 of which were received since September 15, 2022</w:t>
            </w:r>
          </w:p>
        </w:tc>
      </w:tr>
      <w:tr w:rsidR="004E632E" w:rsidRPr="004E632E" w:rsidTr="00693A3D">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projects that DASH supported in grant application</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38 grant supported projects to date, 4 of which were received since September 15, 2022</w:t>
            </w:r>
          </w:p>
        </w:tc>
      </w:tr>
      <w:tr w:rsidR="004E632E" w:rsidRPr="004E632E" w:rsidTr="00693A3D">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xml:space="preserve"># of algorithms in inventory </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185 algorithms listed in the inventory (increase of 5 since last Board meeting)</w:t>
            </w:r>
          </w:p>
        </w:tc>
      </w:tr>
      <w:tr w:rsidR="004E632E" w:rsidRPr="004E632E" w:rsidTr="00693A3D">
        <w:trPr>
          <w:trHeight w:val="534"/>
        </w:trPr>
        <w:tc>
          <w:tcPr>
            <w:tcW w:w="0" w:type="auto"/>
            <w:vMerge/>
          </w:tcPr>
          <w:p w:rsidR="004E632E" w:rsidRPr="004E632E" w:rsidRDefault="004E632E" w:rsidP="004E632E">
            <w:pPr>
              <w:pStyle w:val="NoSpacing"/>
              <w:spacing w:line="276" w:lineRule="auto"/>
              <w:rPr>
                <w:bCs/>
                <w:sz w:val="24"/>
                <w:szCs w:val="24"/>
                <w:lang w:val="en-CA"/>
              </w:rPr>
            </w:pP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 xml:space="preserve"># of datasets in inventory </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551 datasets listed in the inventory (same as last Board meeting)</w:t>
            </w:r>
          </w:p>
        </w:tc>
      </w:tr>
      <w:tr w:rsidR="004E632E" w:rsidRPr="004E632E" w:rsidTr="00693A3D">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Diversify and Harmonize Data, and Support Innovative and Privacy-Sensitive Data Use</w:t>
            </w:r>
          </w:p>
        </w:tc>
        <w:tc>
          <w:tcPr>
            <w:tcW w:w="0" w:type="auto"/>
          </w:tcPr>
          <w:p w:rsidR="004E632E" w:rsidRPr="004E632E" w:rsidRDefault="004E632E" w:rsidP="004E632E">
            <w:pPr>
              <w:pStyle w:val="NoSpacing"/>
              <w:spacing w:line="276" w:lineRule="auto"/>
              <w:rPr>
                <w:bCs/>
                <w:sz w:val="24"/>
                <w:szCs w:val="24"/>
                <w:lang w:val="en-CA"/>
              </w:rPr>
            </w:pPr>
            <w:r w:rsidRPr="004E632E">
              <w:rPr>
                <w:bCs/>
                <w:sz w:val="24"/>
                <w:szCs w:val="24"/>
                <w:lang w:val="en-CA"/>
              </w:rPr>
              <w:t>Enhancements / updates to resources that support access to multi-regional data</w:t>
            </w:r>
          </w:p>
        </w:tc>
        <w:tc>
          <w:tcPr>
            <w:tcW w:w="0" w:type="auto"/>
          </w:tcPr>
          <w:p w:rsidR="004E632E" w:rsidRPr="004E632E" w:rsidRDefault="004E632E" w:rsidP="004E632E">
            <w:pPr>
              <w:pStyle w:val="NoSpacing"/>
              <w:numPr>
                <w:ilvl w:val="0"/>
                <w:numId w:val="141"/>
              </w:numPr>
              <w:spacing w:line="276" w:lineRule="auto"/>
              <w:rPr>
                <w:bCs/>
                <w:sz w:val="24"/>
                <w:szCs w:val="24"/>
                <w:lang w:val="en-CA"/>
              </w:rPr>
            </w:pPr>
            <w:r w:rsidRPr="004E632E">
              <w:rPr>
                <w:bCs/>
                <w:sz w:val="24"/>
                <w:szCs w:val="24"/>
                <w:lang w:val="en-CA"/>
              </w:rPr>
              <w:t xml:space="preserve">Enhancements to DASH Portal interface and forms (Intake Form, DAP Form) </w:t>
            </w:r>
          </w:p>
          <w:p w:rsidR="004E632E" w:rsidRPr="004E632E" w:rsidRDefault="004E632E" w:rsidP="004E632E">
            <w:pPr>
              <w:pStyle w:val="NoSpacing"/>
              <w:numPr>
                <w:ilvl w:val="0"/>
                <w:numId w:val="141"/>
              </w:numPr>
              <w:spacing w:line="276" w:lineRule="auto"/>
              <w:rPr>
                <w:bCs/>
                <w:sz w:val="24"/>
                <w:szCs w:val="24"/>
                <w:lang w:val="en-CA"/>
              </w:rPr>
            </w:pPr>
            <w:r w:rsidRPr="004E632E">
              <w:rPr>
                <w:bCs/>
                <w:sz w:val="24"/>
                <w:szCs w:val="24"/>
                <w:lang w:val="en-CA"/>
              </w:rPr>
              <w:t>Update to DASH standard operating procedures documentation</w:t>
            </w:r>
          </w:p>
        </w:tc>
      </w:tr>
    </w:tbl>
    <w:p w:rsidR="00707EB3" w:rsidRDefault="00707EB3" w:rsidP="00707EB3">
      <w:pPr>
        <w:pStyle w:val="NoSpacing"/>
      </w:pPr>
    </w:p>
    <w:p w:rsidR="007C2823" w:rsidRPr="00707EB3" w:rsidRDefault="007C2823" w:rsidP="00707EB3">
      <w:pPr>
        <w:pStyle w:val="NoSpacing"/>
        <w:sectPr w:rsidR="007C2823" w:rsidRPr="00707EB3">
          <w:headerReference w:type="default" r:id="rId9"/>
          <w:footerReference w:type="even" r:id="rId10"/>
          <w:footerReference w:type="default" r:id="rId11"/>
          <w:pgSz w:w="12240" w:h="15840"/>
          <w:pgMar w:top="1400" w:right="1120" w:bottom="1160" w:left="1320" w:header="0" w:footer="973" w:gutter="0"/>
          <w:cols w:space="720"/>
        </w:sectPr>
      </w:pPr>
    </w:p>
    <w:p w:rsidR="00707EB3" w:rsidRPr="00707EB3" w:rsidRDefault="007C2823" w:rsidP="00707EB3">
      <w:pPr>
        <w:pStyle w:val="Heading1"/>
        <w:spacing w:before="0"/>
        <w:rPr>
          <w:rFonts w:ascii="Calibri" w:eastAsia="Calibri" w:hAnsi="Calibri" w:cstheme="minorHAnsi"/>
        </w:rPr>
      </w:pPr>
      <w:bookmarkStart w:id="5" w:name="_Toc139973528"/>
      <w:r>
        <w:lastRenderedPageBreak/>
        <w:t xml:space="preserve">Section 2: </w:t>
      </w:r>
      <w:r w:rsidR="00707EB3">
        <w:t>Additional Information About HDRN Canada Progress and Core Work</w:t>
      </w:r>
      <w:bookmarkEnd w:id="5"/>
    </w:p>
    <w:p w:rsidR="00707EB3" w:rsidRPr="00705E95" w:rsidRDefault="00707EB3" w:rsidP="00707EB3">
      <w:r w:rsidRPr="00937003">
        <w:t>The following provides an update on the Strategic Goals and Success Factors in the Strategic Plan</w:t>
      </w:r>
    </w:p>
    <w:p w:rsidR="00707EB3" w:rsidRPr="00707EB3" w:rsidRDefault="00707EB3" w:rsidP="007C2823">
      <w:pPr>
        <w:pStyle w:val="Heading2"/>
      </w:pPr>
      <w:bookmarkStart w:id="6" w:name="_Toc139973529"/>
      <w:r w:rsidRPr="00707EB3">
        <w:t>Goal</w:t>
      </w:r>
      <w:r w:rsidR="007C2823">
        <w:t xml:space="preserve"> 1</w:t>
      </w:r>
      <w:r w:rsidRPr="00707EB3">
        <w:t>: Develop and Improve Services and Supports for Data Access</w:t>
      </w:r>
      <w:bookmarkEnd w:id="6"/>
      <w:r w:rsidRPr="00707EB3" w:rsidDel="008937A2">
        <w:t xml:space="preserve"> </w:t>
      </w:r>
    </w:p>
    <w:p w:rsidR="00707EB3" w:rsidRPr="00707EB3" w:rsidRDefault="00707EB3" w:rsidP="00707EB3">
      <w:pPr>
        <w:pStyle w:val="Heading3"/>
      </w:pPr>
      <w:bookmarkStart w:id="7" w:name="_Toc139973530"/>
      <w:r w:rsidRPr="00707EB3">
        <w:t>Key developments since last meeting</w:t>
      </w:r>
      <w:bookmarkEnd w:id="7"/>
    </w:p>
    <w:p w:rsidR="004E632E" w:rsidRPr="00BC0478" w:rsidRDefault="004E632E" w:rsidP="004E632E">
      <w:pPr>
        <w:pStyle w:val="ListParagraph"/>
        <w:numPr>
          <w:ilvl w:val="0"/>
          <w:numId w:val="142"/>
        </w:numPr>
      </w:pPr>
      <w:bookmarkStart w:id="8" w:name="_Toc139973531"/>
      <w:r>
        <w:t>S</w:t>
      </w:r>
      <w:r w:rsidRPr="00BC0478">
        <w:t>everal enhancements</w:t>
      </w:r>
      <w:r>
        <w:t xml:space="preserve"> have been implemented</w:t>
      </w:r>
      <w:r w:rsidRPr="00BC0478">
        <w:t xml:space="preserve"> to the DASH Portal (Intake and Data Assembly Plan forms, integration of Feasibility Assessment template) to respond to evolving stakeholder needs and further streamlin</w:t>
      </w:r>
      <w:r>
        <w:t>e</w:t>
      </w:r>
      <w:r w:rsidRPr="00BC0478">
        <w:t xml:space="preserve"> the access process for researchers. </w:t>
      </w:r>
    </w:p>
    <w:p w:rsidR="004E632E" w:rsidRPr="00BC0478" w:rsidRDefault="004E632E" w:rsidP="004E632E">
      <w:pPr>
        <w:pStyle w:val="ListParagraph"/>
        <w:numPr>
          <w:ilvl w:val="0"/>
          <w:numId w:val="142"/>
        </w:numPr>
      </w:pPr>
      <w:r w:rsidRPr="00BC0478">
        <w:t xml:space="preserve">Developed additional operational reports, including </w:t>
      </w:r>
      <w:r>
        <w:t xml:space="preserve">an </w:t>
      </w:r>
      <w:r w:rsidRPr="00BC0478">
        <w:t xml:space="preserve">interactive reporting tool, for HDRN Canada internal audiences to track and report on DASH activities and progress. </w:t>
      </w:r>
    </w:p>
    <w:p w:rsidR="004E632E" w:rsidRPr="00951435" w:rsidRDefault="004E632E" w:rsidP="004E632E">
      <w:pPr>
        <w:pStyle w:val="ListParagraph"/>
        <w:numPr>
          <w:ilvl w:val="0"/>
          <w:numId w:val="142"/>
        </w:numPr>
      </w:pPr>
      <w:r w:rsidRPr="00951435">
        <w:t xml:space="preserve">A first version of a machine-readable version of the </w:t>
      </w:r>
      <w:r>
        <w:t>Data Access Support Hub (</w:t>
      </w:r>
      <w:r w:rsidRPr="00951435">
        <w:t>DAS</w:t>
      </w:r>
      <w:r>
        <w:t>H) Data</w:t>
      </w:r>
      <w:r w:rsidRPr="00951435">
        <w:t xml:space="preserve"> Access Workflow Model (AWM) has now been created as a series of diagrams which have associated syntactic representations which can be consumed by software. When executed, the software will generate the same sequential workflow that DASH currently uses to govern its mediation of applications to individual </w:t>
      </w:r>
      <w:r>
        <w:t xml:space="preserve">data </w:t>
      </w:r>
      <w:proofErr w:type="spellStart"/>
      <w:r>
        <w:t>centres</w:t>
      </w:r>
      <w:proofErr w:type="spellEnd"/>
      <w:r w:rsidRPr="00951435">
        <w:t xml:space="preserve">. The existing sequential workflow has not required modification as a result of this work. The method by which a software engine would guide DASH decisions using the machine-readable version of the workflow has been described to DASH and feedback received. It is anticipated that the initial introduction of the engine/workflow will not increase DASH workload significantly, and will be completely transparent to </w:t>
      </w:r>
      <w:r>
        <w:t xml:space="preserve">data </w:t>
      </w:r>
      <w:proofErr w:type="spellStart"/>
      <w:r>
        <w:t>centres</w:t>
      </w:r>
      <w:proofErr w:type="spellEnd"/>
      <w:r w:rsidRPr="00951435">
        <w:t xml:space="preserve">. Introduction is </w:t>
      </w:r>
      <w:r>
        <w:t>anticipated in 9-12 months</w:t>
      </w:r>
      <w:r w:rsidRPr="00951435">
        <w:t>.</w:t>
      </w:r>
    </w:p>
    <w:p w:rsidR="004E632E" w:rsidRPr="00951435" w:rsidRDefault="004E632E" w:rsidP="004E632E">
      <w:pPr>
        <w:pStyle w:val="ListParagraph"/>
        <w:numPr>
          <w:ilvl w:val="0"/>
          <w:numId w:val="142"/>
        </w:numPr>
      </w:pPr>
      <w:r w:rsidRPr="00951435">
        <w:t xml:space="preserve">The Lucid Chart version of the existing sequential application workflow is nearing completion, and will open up new avenues of interaction between </w:t>
      </w:r>
      <w:r>
        <w:t>the Modelling and Informatics Group (</w:t>
      </w:r>
      <w:r w:rsidRPr="00951435">
        <w:t>MIG</w:t>
      </w:r>
      <w:r>
        <w:t>)</w:t>
      </w:r>
      <w:r w:rsidRPr="00951435">
        <w:t xml:space="preserve"> and DASH in support of the DASH application process.</w:t>
      </w:r>
    </w:p>
    <w:p w:rsidR="004E632E" w:rsidRDefault="004E632E" w:rsidP="004E632E">
      <w:pPr>
        <w:pStyle w:val="ListParagraph"/>
        <w:numPr>
          <w:ilvl w:val="0"/>
          <w:numId w:val="142"/>
        </w:numPr>
      </w:pPr>
      <w:r>
        <w:t>M</w:t>
      </w:r>
      <w:r w:rsidRPr="00951435">
        <w:t xml:space="preserve">eetings with </w:t>
      </w:r>
      <w:r>
        <w:t>Algorithms and Harmonized Data (</w:t>
      </w:r>
      <w:r w:rsidRPr="00951435">
        <w:t>AHD</w:t>
      </w:r>
      <w:r>
        <w:t>) Working Group</w:t>
      </w:r>
      <w:r w:rsidRPr="00951435">
        <w:t xml:space="preserve"> and </w:t>
      </w:r>
      <w:r>
        <w:t xml:space="preserve">data </w:t>
      </w:r>
      <w:proofErr w:type="spellStart"/>
      <w:r>
        <w:t>centres</w:t>
      </w:r>
      <w:proofErr w:type="spellEnd"/>
      <w:r w:rsidRPr="00951435">
        <w:t xml:space="preserve"> to review collection of provenance information for data assets within the Data Asset Inventory (DAI). Initial collection focused on identification of data custodians and controllers.</w:t>
      </w:r>
    </w:p>
    <w:p w:rsidR="00707EB3" w:rsidRPr="00937003" w:rsidRDefault="00707EB3" w:rsidP="00707EB3">
      <w:pPr>
        <w:pStyle w:val="Heading3"/>
      </w:pPr>
      <w:r w:rsidRPr="00937003">
        <w:lastRenderedPageBreak/>
        <w:t>Successes</w:t>
      </w:r>
      <w:bookmarkEnd w:id="8"/>
    </w:p>
    <w:p w:rsidR="004E632E" w:rsidRPr="004E632E" w:rsidRDefault="004E632E" w:rsidP="004E632E">
      <w:pPr>
        <w:pStyle w:val="ListParagraph"/>
        <w:numPr>
          <w:ilvl w:val="0"/>
          <w:numId w:val="143"/>
        </w:numPr>
      </w:pPr>
      <w:bookmarkStart w:id="9" w:name="_Toc139973532"/>
      <w:r w:rsidRPr="004E632E">
        <w:t xml:space="preserve">The DASH continues to support over 20 active projects and has convened over 40 calls with researchers and DASH data </w:t>
      </w:r>
      <w:proofErr w:type="spellStart"/>
      <w:r w:rsidRPr="004E632E">
        <w:t>centre</w:t>
      </w:r>
      <w:proofErr w:type="spellEnd"/>
      <w:r w:rsidRPr="004E632E">
        <w:t xml:space="preserve"> representatives to support these projects.  A total of 17 active projects have reached the formal data request stage of the access process, 4 of these projects are at the agreement stage, and 8 are at varying data assembly stages. It is anticipated that 5 of these projects will be fully completed within the next 3 months. DASH staff across data </w:t>
      </w:r>
      <w:proofErr w:type="spellStart"/>
      <w:r w:rsidRPr="004E632E">
        <w:t>centres</w:t>
      </w:r>
      <w:proofErr w:type="spellEnd"/>
      <w:r w:rsidRPr="004E632E">
        <w:t xml:space="preserve"> continue to meet regularly to ensure projects are progressing well.</w:t>
      </w:r>
    </w:p>
    <w:p w:rsidR="004E632E" w:rsidRPr="004E632E" w:rsidRDefault="004E632E" w:rsidP="004E632E">
      <w:pPr>
        <w:pStyle w:val="ListParagraph"/>
        <w:numPr>
          <w:ilvl w:val="0"/>
          <w:numId w:val="143"/>
        </w:numPr>
      </w:pPr>
      <w:r w:rsidRPr="004E632E">
        <w:t>The DASH collaborated with Australia’s Population Health Research Network (PHRN) in hosting a joint workshop and oral presentation at the September 2022 International Population Data Linkage (IPDLN) conference which were well received. A knowledge exchange session between the two networks is planned for November 2022.</w:t>
      </w:r>
    </w:p>
    <w:p w:rsidR="00707EB3" w:rsidRPr="00937003" w:rsidRDefault="00707EB3" w:rsidP="00707EB3">
      <w:pPr>
        <w:pStyle w:val="Heading3"/>
      </w:pPr>
      <w:r w:rsidRPr="00937003">
        <w:t>Challenges</w:t>
      </w:r>
      <w:bookmarkEnd w:id="9"/>
      <w:r w:rsidRPr="00937003">
        <w:t xml:space="preserve"> </w:t>
      </w:r>
    </w:p>
    <w:p w:rsidR="004E632E" w:rsidRDefault="004E632E" w:rsidP="004E632E">
      <w:pPr>
        <w:pStyle w:val="ListParagraph"/>
        <w:numPr>
          <w:ilvl w:val="0"/>
          <w:numId w:val="145"/>
        </w:numPr>
      </w:pPr>
      <w:bookmarkStart w:id="10" w:name="_Toc139973533"/>
      <w:r w:rsidRPr="00951435">
        <w:t>Issues regarding the Data Assembly Plan (which describes how data are generated and released) and the analysis part of the application workflow (relating to local analysis, distributed analysis or pooled analysis) are still work in progress.</w:t>
      </w:r>
    </w:p>
    <w:p w:rsidR="004E632E" w:rsidRPr="00705E95" w:rsidRDefault="004E632E" w:rsidP="004E632E">
      <w:pPr>
        <w:pStyle w:val="ListParagraph"/>
        <w:numPr>
          <w:ilvl w:val="0"/>
          <w:numId w:val="145"/>
        </w:numPr>
      </w:pPr>
      <w:r w:rsidRPr="00BC0478">
        <w:t xml:space="preserve">Ensuring that project turnaround times are well managed continues to be a top priority for </w:t>
      </w:r>
      <w:r>
        <w:t xml:space="preserve">the </w:t>
      </w:r>
      <w:r w:rsidRPr="00BC0478">
        <w:t xml:space="preserve">DASH. Project timelines are significantly influenced by the complexity of projects, and the myriad of internal and external factors impacting processes across multiple sites. </w:t>
      </w:r>
      <w:r>
        <w:t xml:space="preserve">The </w:t>
      </w:r>
      <w:r w:rsidRPr="00BC0478">
        <w:t xml:space="preserve">DASH is working with </w:t>
      </w:r>
      <w:r>
        <w:t xml:space="preserve">data </w:t>
      </w:r>
      <w:proofErr w:type="spellStart"/>
      <w:r>
        <w:t>centres</w:t>
      </w:r>
      <w:proofErr w:type="spellEnd"/>
      <w:r w:rsidRPr="00BC0478">
        <w:t xml:space="preserve"> to understand the local challenges and identified efficiencies that could be gained to improve timelines for future projects. To manage researcher expectations, </w:t>
      </w:r>
      <w:r>
        <w:t xml:space="preserve">the </w:t>
      </w:r>
      <w:r w:rsidRPr="00BC0478">
        <w:t>DASH continues to communicate expected timelines to researchers throughout the process (Intake call, Project Kick-Off call, ad-hoc emails/calls)</w:t>
      </w:r>
      <w:r>
        <w:t>.</w:t>
      </w:r>
    </w:p>
    <w:p w:rsidR="00707EB3" w:rsidRPr="00937003" w:rsidRDefault="00707EB3" w:rsidP="00707EB3">
      <w:pPr>
        <w:pStyle w:val="Heading3"/>
      </w:pPr>
      <w:r w:rsidRPr="00937003">
        <w:t>Risks</w:t>
      </w:r>
      <w:bookmarkEnd w:id="10"/>
    </w:p>
    <w:p w:rsidR="00707EB3" w:rsidRDefault="00707EB3" w:rsidP="00707EB3">
      <w:pPr>
        <w:pStyle w:val="ListParagraph"/>
        <w:numPr>
          <w:ilvl w:val="0"/>
          <w:numId w:val="87"/>
        </w:numPr>
      </w:pPr>
      <w:r>
        <w:t>None identified at this time.</w:t>
      </w:r>
    </w:p>
    <w:p w:rsidR="00707EB3" w:rsidRPr="004C76A6" w:rsidRDefault="00707EB3" w:rsidP="007C2823">
      <w:pPr>
        <w:pStyle w:val="Heading2"/>
      </w:pPr>
      <w:bookmarkStart w:id="11" w:name="_Toc139973534"/>
      <w:r w:rsidRPr="004C76A6">
        <w:lastRenderedPageBreak/>
        <w:t>Goal</w:t>
      </w:r>
      <w:r w:rsidR="007C2823">
        <w:t xml:space="preserve"> 2</w:t>
      </w:r>
      <w:r w:rsidRPr="004C76A6">
        <w:t>: Diversify and Harmonize Data, and Support Innovative and Privacy-Sensitive Data Use</w:t>
      </w:r>
      <w:bookmarkEnd w:id="11"/>
      <w:r w:rsidRPr="004C76A6">
        <w:t xml:space="preserve"> </w:t>
      </w:r>
    </w:p>
    <w:p w:rsidR="00707EB3" w:rsidRPr="00B10CE8" w:rsidRDefault="00707EB3" w:rsidP="00707EB3">
      <w:pPr>
        <w:pStyle w:val="Heading3"/>
      </w:pPr>
      <w:bookmarkStart w:id="12" w:name="_Toc139973535"/>
      <w:r w:rsidRPr="00B10CE8">
        <w:t>Key developments since last meeting</w:t>
      </w:r>
      <w:bookmarkEnd w:id="12"/>
    </w:p>
    <w:p w:rsidR="004E632E" w:rsidRPr="000E0232" w:rsidRDefault="004E632E" w:rsidP="004E632E">
      <w:pPr>
        <w:pStyle w:val="ListParagraph"/>
        <w:numPr>
          <w:ilvl w:val="0"/>
          <w:numId w:val="146"/>
        </w:numPr>
      </w:pPr>
      <w:bookmarkStart w:id="13" w:name="_Toc139973536"/>
      <w:r w:rsidRPr="000E0232">
        <w:t xml:space="preserve">Site annotation of data assets for a further set of semantic labels is in progress with the AHD working group. The Inclusivity, Diversity, Equity and Accessibility (IDEA) Team is also reviewing the labels. </w:t>
      </w:r>
    </w:p>
    <w:p w:rsidR="004E632E" w:rsidRPr="001D4126" w:rsidRDefault="004E632E" w:rsidP="004E632E">
      <w:pPr>
        <w:pStyle w:val="ListParagraph"/>
        <w:numPr>
          <w:ilvl w:val="0"/>
          <w:numId w:val="146"/>
        </w:numPr>
      </w:pPr>
      <w:r w:rsidRPr="000E0232">
        <w:t>Members of the AHD Working Group met with representatives from the SAIL Databank (UK) about work they have done using the OMOP (Observational Medical Outcomes Partnership) common data model developed by OHDSI (Observational Health Data Sciences and Informatics). The information from this meeting is being used</w:t>
      </w:r>
      <w:r w:rsidRPr="001D4126">
        <w:t xml:space="preserve"> to guide the development of a project plan to research, test, and recommend a </w:t>
      </w:r>
      <w:r>
        <w:t>c</w:t>
      </w:r>
      <w:r w:rsidRPr="001D4126">
        <w:t xml:space="preserve">ommon </w:t>
      </w:r>
      <w:r>
        <w:t>d</w:t>
      </w:r>
      <w:r w:rsidRPr="001D4126">
        <w:t xml:space="preserve">ata </w:t>
      </w:r>
      <w:r>
        <w:t>m</w:t>
      </w:r>
      <w:r w:rsidRPr="001D4126">
        <w:t xml:space="preserve">odel format for HDRN Canada. </w:t>
      </w:r>
    </w:p>
    <w:p w:rsidR="00707EB3" w:rsidRPr="00937003" w:rsidRDefault="00707EB3" w:rsidP="00707EB3">
      <w:pPr>
        <w:pStyle w:val="Heading3"/>
      </w:pPr>
      <w:r w:rsidRPr="00937003">
        <w:t>Successes</w:t>
      </w:r>
      <w:bookmarkEnd w:id="13"/>
    </w:p>
    <w:p w:rsidR="004E632E" w:rsidRPr="00951435" w:rsidRDefault="004E632E" w:rsidP="004E632E">
      <w:pPr>
        <w:pStyle w:val="ListParagraph"/>
        <w:numPr>
          <w:ilvl w:val="0"/>
          <w:numId w:val="147"/>
        </w:numPr>
      </w:pPr>
      <w:bookmarkStart w:id="14" w:name="_Toc139973537"/>
      <w:r w:rsidRPr="00951435">
        <w:t xml:space="preserve">There is renewed consensus on the use of Information Items as a means of representing data requirements within the Data Assembly Plan. A method has been discussed at a recent </w:t>
      </w:r>
      <w:r>
        <w:t xml:space="preserve">HDRN Canada </w:t>
      </w:r>
      <w:r w:rsidRPr="00951435">
        <w:t xml:space="preserve">Leads </w:t>
      </w:r>
      <w:r>
        <w:t xml:space="preserve">Team </w:t>
      </w:r>
      <w:r w:rsidRPr="00951435">
        <w:t>meeting which enables the co-use of common data models alongside the proposed information item diction</w:t>
      </w:r>
      <w:r>
        <w:t>ary that satisfies</w:t>
      </w:r>
      <w:r w:rsidRPr="00951435">
        <w:t xml:space="preserve"> the needs of multiple research communities, and </w:t>
      </w:r>
      <w:r>
        <w:t xml:space="preserve">data </w:t>
      </w:r>
      <w:proofErr w:type="spellStart"/>
      <w:r>
        <w:t>centres</w:t>
      </w:r>
      <w:proofErr w:type="spellEnd"/>
      <w:r w:rsidRPr="00951435">
        <w:t xml:space="preserve"> concerns regarding the resource requirements of introducing common data models into their data selection and assembly processes.</w:t>
      </w:r>
    </w:p>
    <w:p w:rsidR="004E632E" w:rsidRPr="00AC1386" w:rsidRDefault="004E632E" w:rsidP="004E632E">
      <w:pPr>
        <w:pStyle w:val="ListParagraph"/>
        <w:numPr>
          <w:ilvl w:val="0"/>
          <w:numId w:val="147"/>
        </w:numPr>
      </w:pPr>
      <w:r w:rsidRPr="001D4126">
        <w:t xml:space="preserve">A conference presentation about a synthesis review of the Algorithms Inventory was presented at the </w:t>
      </w:r>
      <w:r>
        <w:t>IPDLN</w:t>
      </w:r>
      <w:r w:rsidRPr="001D4126">
        <w:t xml:space="preserve"> </w:t>
      </w:r>
      <w:r>
        <w:t>conference</w:t>
      </w:r>
      <w:r w:rsidRPr="001D4126">
        <w:t xml:space="preserve"> in September 2022. Another conference presentation about federated learning methods for data de-identification was also presented at the conference</w:t>
      </w:r>
    </w:p>
    <w:p w:rsidR="00707EB3" w:rsidRPr="00937003" w:rsidRDefault="00707EB3" w:rsidP="00707EB3">
      <w:pPr>
        <w:pStyle w:val="Heading3"/>
      </w:pPr>
      <w:r>
        <w:t>C</w:t>
      </w:r>
      <w:r w:rsidRPr="00937003">
        <w:t>hallenges</w:t>
      </w:r>
      <w:bookmarkEnd w:id="14"/>
      <w:r w:rsidRPr="00937003">
        <w:t xml:space="preserve"> </w:t>
      </w:r>
    </w:p>
    <w:p w:rsidR="004E632E" w:rsidRPr="00951435" w:rsidRDefault="004E632E" w:rsidP="004E632E">
      <w:pPr>
        <w:pStyle w:val="ListParagraph"/>
        <w:numPr>
          <w:ilvl w:val="0"/>
          <w:numId w:val="148"/>
        </w:numPr>
      </w:pPr>
      <w:bookmarkStart w:id="15" w:name="_Toc139973538"/>
      <w:r>
        <w:t>We are working to identify</w:t>
      </w:r>
      <w:r w:rsidRPr="00951435">
        <w:t xml:space="preserve"> a suitable project to assess the use of distributed analysis by researchers. </w:t>
      </w:r>
      <w:r>
        <w:t>C</w:t>
      </w:r>
      <w:r w:rsidRPr="00951435">
        <w:t>andidates have been submitted and will</w:t>
      </w:r>
      <w:r>
        <w:t xml:space="preserve"> need to</w:t>
      </w:r>
      <w:r w:rsidRPr="00951435">
        <w:t xml:space="preserve"> be assessed by </w:t>
      </w:r>
      <w:r>
        <w:t>the MIG and DASH</w:t>
      </w:r>
      <w:r w:rsidRPr="00951435">
        <w:t>.</w:t>
      </w:r>
    </w:p>
    <w:p w:rsidR="004E632E" w:rsidRPr="00705E95" w:rsidRDefault="004E632E" w:rsidP="004E632E">
      <w:pPr>
        <w:pStyle w:val="ListParagraph"/>
        <w:numPr>
          <w:ilvl w:val="0"/>
          <w:numId w:val="148"/>
        </w:numPr>
      </w:pPr>
      <w:r w:rsidRPr="001D4126">
        <w:lastRenderedPageBreak/>
        <w:t>A new Data Documentation and Analysis position was posted by the University of Manitoba to support the Algorithms and Harmonized Data Working Group. Unfortunately</w:t>
      </w:r>
      <w:r>
        <w:t>,</w:t>
      </w:r>
      <w:r w:rsidRPr="001D4126">
        <w:t xml:space="preserve"> this position has not been filled. HDRN Central project management staff and senior graduate students at the University of Manitoba will support the work.</w:t>
      </w:r>
    </w:p>
    <w:p w:rsidR="00707EB3" w:rsidRPr="00937003" w:rsidRDefault="00707EB3" w:rsidP="00707EB3">
      <w:pPr>
        <w:pStyle w:val="Heading3"/>
      </w:pPr>
      <w:r w:rsidRPr="00937003">
        <w:t>Risks</w:t>
      </w:r>
      <w:bookmarkEnd w:id="15"/>
    </w:p>
    <w:p w:rsidR="00707EB3" w:rsidRPr="00563FFE" w:rsidRDefault="00707EB3" w:rsidP="00707EB3">
      <w:pPr>
        <w:pStyle w:val="ListParagraph"/>
        <w:numPr>
          <w:ilvl w:val="0"/>
          <w:numId w:val="92"/>
        </w:numPr>
      </w:pPr>
      <w:r>
        <w:t>None identified at this time</w:t>
      </w:r>
    </w:p>
    <w:p w:rsidR="00707EB3" w:rsidRPr="004C76A6" w:rsidRDefault="00707EB3" w:rsidP="007C2823">
      <w:pPr>
        <w:pStyle w:val="Heading2"/>
      </w:pPr>
      <w:bookmarkStart w:id="16" w:name="_Toc139973539"/>
      <w:r w:rsidRPr="004C76A6">
        <w:t>Goal</w:t>
      </w:r>
      <w:r w:rsidR="007C2823">
        <w:t xml:space="preserve"> 3</w:t>
      </w:r>
      <w:r w:rsidRPr="004C76A6">
        <w:t>: Ensure Purposeful and Ongoing Public and Community Involvement</w:t>
      </w:r>
      <w:bookmarkEnd w:id="16"/>
      <w:r w:rsidRPr="004C76A6">
        <w:t xml:space="preserve"> </w:t>
      </w:r>
    </w:p>
    <w:p w:rsidR="00707EB3" w:rsidRPr="00937003" w:rsidRDefault="00707EB3" w:rsidP="00707EB3">
      <w:pPr>
        <w:pStyle w:val="Heading3"/>
      </w:pPr>
      <w:bookmarkStart w:id="17" w:name="_Toc139973540"/>
      <w:r w:rsidRPr="00937003">
        <w:t>Key developments since last meeting</w:t>
      </w:r>
      <w:bookmarkEnd w:id="17"/>
    </w:p>
    <w:p w:rsidR="004E632E" w:rsidRPr="001D4126" w:rsidRDefault="004E632E" w:rsidP="004E632E">
      <w:pPr>
        <w:pStyle w:val="ListParagraph"/>
        <w:numPr>
          <w:ilvl w:val="0"/>
          <w:numId w:val="92"/>
        </w:numPr>
      </w:pPr>
      <w:bookmarkStart w:id="18" w:name="_Toc139973541"/>
      <w:r w:rsidRPr="001D4126">
        <w:t xml:space="preserve">Six new members were recruited to the Public Advisory Council (PAC).  The new members joined their first meeting in September. This meeting focused on: </w:t>
      </w:r>
    </w:p>
    <w:p w:rsidR="004E632E" w:rsidRPr="001D4126" w:rsidRDefault="004E632E" w:rsidP="004E632E">
      <w:pPr>
        <w:pStyle w:val="ListParagraph"/>
        <w:numPr>
          <w:ilvl w:val="0"/>
          <w:numId w:val="149"/>
        </w:numPr>
      </w:pPr>
      <w:r w:rsidRPr="001D4126">
        <w:t>The content of the 2021 Annual Report</w:t>
      </w:r>
      <w:r>
        <w:t>,</w:t>
      </w:r>
    </w:p>
    <w:p w:rsidR="004E632E" w:rsidRPr="001D4126" w:rsidRDefault="004E632E" w:rsidP="004E632E">
      <w:pPr>
        <w:pStyle w:val="ListParagraph"/>
        <w:numPr>
          <w:ilvl w:val="0"/>
          <w:numId w:val="149"/>
        </w:numPr>
      </w:pPr>
      <w:r w:rsidRPr="001D4126">
        <w:t xml:space="preserve">The Health Data Social </w:t>
      </w:r>
      <w:proofErr w:type="spellStart"/>
      <w:r w:rsidRPr="001D4126">
        <w:t>Licence</w:t>
      </w:r>
      <w:proofErr w:type="spellEnd"/>
      <w:r w:rsidRPr="001D4126">
        <w:t xml:space="preserve"> White paper, the name of which was changed on the advice of the PAC to remove reference to White Paper, due to the way "white paper," at least from some Indigenous perspectives, recalls documents from the past now seen a</w:t>
      </w:r>
      <w:r>
        <w:t>s harmful to Indigenous people, and</w:t>
      </w:r>
    </w:p>
    <w:p w:rsidR="004E632E" w:rsidRPr="001D4126" w:rsidRDefault="004E632E" w:rsidP="004E632E">
      <w:pPr>
        <w:pStyle w:val="ListParagraph"/>
        <w:numPr>
          <w:ilvl w:val="0"/>
          <w:numId w:val="149"/>
        </w:numPr>
      </w:pPr>
      <w:r w:rsidRPr="001D4126">
        <w:t>The Data Grid that shows which organizations in HDRN Canada hold what kinds of data. The PAC previously advised on the format of the grid and which labels to include</w:t>
      </w:r>
      <w:r>
        <w:t>.</w:t>
      </w:r>
    </w:p>
    <w:p w:rsidR="004E632E" w:rsidRPr="001D4126" w:rsidRDefault="004E632E" w:rsidP="004E632E">
      <w:pPr>
        <w:pStyle w:val="ListParagraph"/>
        <w:numPr>
          <w:ilvl w:val="0"/>
          <w:numId w:val="92"/>
        </w:numPr>
      </w:pPr>
      <w:r w:rsidRPr="001D4126">
        <w:t xml:space="preserve">The September PAC meeting was followed by the PAC’s first in person meeting on 17th October. The </w:t>
      </w:r>
      <w:proofErr w:type="gramStart"/>
      <w:r w:rsidRPr="001D4126">
        <w:t>in person</w:t>
      </w:r>
      <w:proofErr w:type="gramEnd"/>
      <w:r w:rsidRPr="001D4126">
        <w:t xml:space="preserve"> meeting was very successful and allowed the PAC members to get to know each other better.  The in person meeting focused on: </w:t>
      </w:r>
    </w:p>
    <w:p w:rsidR="004E632E" w:rsidRPr="001D4126" w:rsidRDefault="004E632E" w:rsidP="004E632E">
      <w:pPr>
        <w:pStyle w:val="ListParagraph"/>
        <w:numPr>
          <w:ilvl w:val="0"/>
          <w:numId w:val="150"/>
        </w:numPr>
      </w:pPr>
      <w:r w:rsidRPr="001D4126">
        <w:t>Getting to know each other</w:t>
      </w:r>
      <w:r>
        <w:t>,</w:t>
      </w:r>
    </w:p>
    <w:p w:rsidR="004E632E" w:rsidRPr="001D4126" w:rsidRDefault="004E632E" w:rsidP="004E632E">
      <w:pPr>
        <w:pStyle w:val="ListParagraph"/>
        <w:numPr>
          <w:ilvl w:val="0"/>
          <w:numId w:val="150"/>
        </w:numPr>
      </w:pPr>
      <w:r w:rsidRPr="001D4126">
        <w:t>An overview of HDRN Canada</w:t>
      </w:r>
      <w:r>
        <w:t>,</w:t>
      </w:r>
    </w:p>
    <w:p w:rsidR="004E632E" w:rsidRPr="00F63AF1" w:rsidRDefault="004E632E" w:rsidP="004E632E">
      <w:pPr>
        <w:pStyle w:val="ListParagraph"/>
        <w:numPr>
          <w:ilvl w:val="0"/>
          <w:numId w:val="150"/>
        </w:numPr>
      </w:pPr>
      <w:r w:rsidRPr="001D4126">
        <w:t xml:space="preserve">Discussion of the Public Engagement </w:t>
      </w:r>
      <w:r>
        <w:t>Plan and the PAC’s role in this,</w:t>
      </w:r>
    </w:p>
    <w:p w:rsidR="004E632E" w:rsidRPr="001D4126" w:rsidRDefault="004E632E" w:rsidP="004E632E">
      <w:pPr>
        <w:pStyle w:val="ListParagraph"/>
        <w:numPr>
          <w:ilvl w:val="0"/>
          <w:numId w:val="150"/>
        </w:numPr>
      </w:pPr>
      <w:r w:rsidRPr="001D4126">
        <w:t>A presentation on Inclusion, Diversity, Equity and Accessibility and Indigenous Data Sovereignty and how these are key lenses through whic</w:t>
      </w:r>
      <w:r>
        <w:t>h HDRN Canada conducts its work, and</w:t>
      </w:r>
    </w:p>
    <w:p w:rsidR="004E632E" w:rsidRPr="001D4126" w:rsidRDefault="004E632E" w:rsidP="004E632E">
      <w:pPr>
        <w:pStyle w:val="ListParagraph"/>
        <w:numPr>
          <w:ilvl w:val="0"/>
          <w:numId w:val="150"/>
        </w:numPr>
      </w:pPr>
      <w:r w:rsidRPr="001D4126">
        <w:t>Communication tools available to be used across HDRN Canada and with the broader public</w:t>
      </w:r>
      <w:r>
        <w:t>.</w:t>
      </w:r>
    </w:p>
    <w:p w:rsidR="004E632E" w:rsidRPr="001D4126" w:rsidRDefault="004E632E" w:rsidP="004E632E">
      <w:pPr>
        <w:pStyle w:val="ListParagraph"/>
        <w:numPr>
          <w:ilvl w:val="0"/>
          <w:numId w:val="92"/>
        </w:numPr>
      </w:pPr>
      <w:r w:rsidRPr="001D4126">
        <w:lastRenderedPageBreak/>
        <w:t>The Public Engagement Plan has been drafted and was shared with the PAC for comments. PAC members have requested to see the accompanying budget</w:t>
      </w:r>
    </w:p>
    <w:p w:rsidR="00707EB3" w:rsidRPr="00937003" w:rsidRDefault="00707EB3" w:rsidP="00707EB3">
      <w:pPr>
        <w:pStyle w:val="Heading3"/>
      </w:pPr>
      <w:r w:rsidRPr="00937003">
        <w:t>Successes</w:t>
      </w:r>
      <w:bookmarkEnd w:id="18"/>
    </w:p>
    <w:p w:rsidR="004E632E" w:rsidRPr="00AC1386" w:rsidRDefault="004E632E" w:rsidP="004E632E">
      <w:pPr>
        <w:pStyle w:val="ListParagraph"/>
        <w:numPr>
          <w:ilvl w:val="0"/>
          <w:numId w:val="152"/>
        </w:numPr>
      </w:pPr>
      <w:bookmarkStart w:id="19" w:name="_Toc139973542"/>
      <w:r w:rsidRPr="001D4126">
        <w:t xml:space="preserve">The Health Data Social </w:t>
      </w:r>
      <w:proofErr w:type="spellStart"/>
      <w:r w:rsidRPr="001D4126">
        <w:t>Licence</w:t>
      </w:r>
      <w:proofErr w:type="spellEnd"/>
      <w:r w:rsidRPr="001D4126">
        <w:t xml:space="preserve"> White Paper now referred to as “Social </w:t>
      </w:r>
      <w:proofErr w:type="spellStart"/>
      <w:r w:rsidRPr="001D4126">
        <w:t>Licence</w:t>
      </w:r>
      <w:proofErr w:type="spellEnd"/>
      <w:r w:rsidRPr="001D4126">
        <w:t xml:space="preserve"> </w:t>
      </w:r>
      <w:proofErr w:type="gramStart"/>
      <w:r w:rsidRPr="001D4126">
        <w:t>For</w:t>
      </w:r>
      <w:proofErr w:type="gramEnd"/>
      <w:r w:rsidRPr="001D4126">
        <w:t xml:space="preserve"> Uses Of Health Data. A Report </w:t>
      </w:r>
      <w:proofErr w:type="gramStart"/>
      <w:r w:rsidRPr="001D4126">
        <w:t>On</w:t>
      </w:r>
      <w:proofErr w:type="gramEnd"/>
      <w:r w:rsidRPr="001D4126">
        <w:t xml:space="preserve"> Public Perspectives” </w:t>
      </w:r>
      <w:r>
        <w:t>was</w:t>
      </w:r>
      <w:r w:rsidRPr="001D4126">
        <w:t xml:space="preserve"> finalized and was very well received by the Public Health Agency of Canada. A communications plan for the report is now being developed.</w:t>
      </w:r>
    </w:p>
    <w:p w:rsidR="00707EB3" w:rsidRPr="00937003" w:rsidRDefault="00707EB3" w:rsidP="00707EB3">
      <w:pPr>
        <w:pStyle w:val="Heading3"/>
      </w:pPr>
      <w:r w:rsidRPr="00937003">
        <w:t>Challenges</w:t>
      </w:r>
      <w:bookmarkEnd w:id="19"/>
      <w:r w:rsidRPr="00937003">
        <w:t xml:space="preserve"> </w:t>
      </w:r>
    </w:p>
    <w:p w:rsidR="004E632E" w:rsidRDefault="004E632E" w:rsidP="004E632E">
      <w:pPr>
        <w:pStyle w:val="ListParagraph"/>
        <w:numPr>
          <w:ilvl w:val="0"/>
          <w:numId w:val="152"/>
        </w:numPr>
      </w:pPr>
      <w:bookmarkStart w:id="20" w:name="_Toc139973543"/>
      <w:r>
        <w:t>It has not been possible to recruit a Francophone living outside of Quebec to join the PAC despite recruitment efforts. An approach will be made to an individual who was a member of the interim PAC to see if she is interested in joining or able to recommend someone to join the PAC. She has now confirmed and will join the PAC</w:t>
      </w:r>
    </w:p>
    <w:p w:rsidR="00707EB3" w:rsidRPr="00937003" w:rsidRDefault="00707EB3" w:rsidP="004E632E">
      <w:pPr>
        <w:pStyle w:val="Heading3"/>
      </w:pPr>
      <w:r w:rsidRPr="00937003">
        <w:t>Risks</w:t>
      </w:r>
      <w:bookmarkEnd w:id="20"/>
    </w:p>
    <w:p w:rsidR="004E632E" w:rsidRPr="00705E95" w:rsidRDefault="004E632E" w:rsidP="004E632E">
      <w:pPr>
        <w:pStyle w:val="ListParagraph"/>
        <w:numPr>
          <w:ilvl w:val="0"/>
          <w:numId w:val="152"/>
        </w:numPr>
      </w:pPr>
      <w:bookmarkStart w:id="21" w:name="_Toc139973544"/>
      <w:r w:rsidRPr="001D4126">
        <w:t xml:space="preserve">Once the Public Engagement Plan has been approved by the PAC and HDRN Canada, the </w:t>
      </w:r>
      <w:r>
        <w:t>focus will be on</w:t>
      </w:r>
      <w:r w:rsidRPr="001D4126">
        <w:t xml:space="preserve"> implementation of the plan. There are risks inherent with the implementation of any new plan / service.  To mitigate against risk, implementation of the plan will be the focus of the Public Engagement Fellow’s work for the next six months. Additionally, the budget for Public Engagement has been reviewed to ensure there are sufficient funds to implement the plan. Regular updates will be provided to the PE Working Group to allow for course correction as necessary.</w:t>
      </w:r>
    </w:p>
    <w:p w:rsidR="00707EB3" w:rsidRPr="004C76A6" w:rsidRDefault="00707EB3" w:rsidP="007C2823">
      <w:pPr>
        <w:pStyle w:val="Heading2"/>
      </w:pPr>
      <w:r w:rsidRPr="004C76A6">
        <w:t>Goal</w:t>
      </w:r>
      <w:r w:rsidR="007C2823">
        <w:t xml:space="preserve"> 4</w:t>
      </w:r>
      <w:r w:rsidRPr="004C76A6">
        <w:t>: Establish and Strengthen Partnerships and Provide Leadership for Evolving Data Practices</w:t>
      </w:r>
      <w:bookmarkEnd w:id="21"/>
    </w:p>
    <w:p w:rsidR="00707EB3" w:rsidRPr="00937003" w:rsidRDefault="00707EB3" w:rsidP="00707EB3">
      <w:pPr>
        <w:pStyle w:val="Heading3"/>
      </w:pPr>
      <w:bookmarkStart w:id="22" w:name="_Toc139973545"/>
      <w:r w:rsidRPr="00937003">
        <w:t>Key developments since last meeting</w:t>
      </w:r>
      <w:bookmarkEnd w:id="22"/>
    </w:p>
    <w:p w:rsidR="004E632E" w:rsidRPr="00175095" w:rsidRDefault="004E632E" w:rsidP="004E632E">
      <w:pPr>
        <w:pStyle w:val="ListParagraph"/>
        <w:numPr>
          <w:ilvl w:val="0"/>
          <w:numId w:val="152"/>
        </w:numPr>
      </w:pPr>
      <w:bookmarkStart w:id="23" w:name="_Toc139973546"/>
      <w:r>
        <w:t xml:space="preserve">The </w:t>
      </w:r>
      <w:r w:rsidRPr="00175095">
        <w:t xml:space="preserve">regional </w:t>
      </w:r>
      <w:proofErr w:type="spellStart"/>
      <w:r w:rsidRPr="00175095">
        <w:t>CanPath</w:t>
      </w:r>
      <w:proofErr w:type="spellEnd"/>
      <w:r w:rsidRPr="00175095">
        <w:t xml:space="preserve"> cohort-HDRN Canada data </w:t>
      </w:r>
      <w:proofErr w:type="spellStart"/>
      <w:r w:rsidRPr="00175095">
        <w:t>centre</w:t>
      </w:r>
      <w:proofErr w:type="spellEnd"/>
      <w:r w:rsidRPr="00175095">
        <w:t xml:space="preserve"> workflow document with the partner</w:t>
      </w:r>
      <w:r>
        <w:t xml:space="preserve"> was finalized. </w:t>
      </w:r>
    </w:p>
    <w:p w:rsidR="00707EB3" w:rsidRPr="000B1320" w:rsidRDefault="00707EB3" w:rsidP="00707EB3">
      <w:pPr>
        <w:pStyle w:val="Heading3"/>
      </w:pPr>
      <w:r w:rsidRPr="000B1320">
        <w:lastRenderedPageBreak/>
        <w:t>Successes</w:t>
      </w:r>
      <w:bookmarkEnd w:id="23"/>
    </w:p>
    <w:p w:rsidR="004E632E" w:rsidRDefault="004E632E" w:rsidP="004E632E">
      <w:pPr>
        <w:pStyle w:val="ListParagraph"/>
        <w:numPr>
          <w:ilvl w:val="0"/>
          <w:numId w:val="153"/>
        </w:numPr>
      </w:pPr>
      <w:bookmarkStart w:id="24" w:name="_Toc139973547"/>
      <w:r>
        <w:t xml:space="preserve">Continued strong collaboration with </w:t>
      </w:r>
      <w:r w:rsidRPr="00F63AF1">
        <w:t>Canadian Agency for Drugs and Technologies in Health</w:t>
      </w:r>
      <w:r>
        <w:t xml:space="preserve"> (CADTH) as we work towards joint memorandum of understanding and workplan.</w:t>
      </w:r>
    </w:p>
    <w:p w:rsidR="004E632E" w:rsidRDefault="004E632E" w:rsidP="004E632E">
      <w:pPr>
        <w:pStyle w:val="ListParagraph"/>
        <w:numPr>
          <w:ilvl w:val="0"/>
          <w:numId w:val="153"/>
        </w:numPr>
      </w:pPr>
      <w:r>
        <w:t xml:space="preserve">Alliance member partnership with the </w:t>
      </w:r>
      <w:r w:rsidRPr="006377EC">
        <w:t xml:space="preserve">Canadian Longitudinal Study on Aging (CLSA) </w:t>
      </w:r>
      <w:r>
        <w:t xml:space="preserve">is progressing. </w:t>
      </w:r>
    </w:p>
    <w:p w:rsidR="004E632E" w:rsidRDefault="004E632E" w:rsidP="004E632E">
      <w:pPr>
        <w:pStyle w:val="ListParagraph"/>
        <w:numPr>
          <w:ilvl w:val="0"/>
          <w:numId w:val="154"/>
        </w:numPr>
      </w:pPr>
      <w:r>
        <w:t xml:space="preserve">The data </w:t>
      </w:r>
      <w:r w:rsidRPr="006377EC">
        <w:t xml:space="preserve">sharing agreement between </w:t>
      </w:r>
      <w:r>
        <w:t>CLSA</w:t>
      </w:r>
      <w:r w:rsidRPr="006377EC">
        <w:t xml:space="preserve"> and 6 of a potential 8 data </w:t>
      </w:r>
      <w:proofErr w:type="spellStart"/>
      <w:r w:rsidRPr="006377EC">
        <w:t>centres</w:t>
      </w:r>
      <w:proofErr w:type="spellEnd"/>
      <w:r w:rsidRPr="006377EC">
        <w:t xml:space="preserve"> are in the final review stages.  They have been</w:t>
      </w:r>
      <w:r>
        <w:t xml:space="preserve"> returned to the data </w:t>
      </w:r>
      <w:proofErr w:type="spellStart"/>
      <w:r>
        <w:t>centres</w:t>
      </w:r>
      <w:proofErr w:type="spellEnd"/>
      <w:r>
        <w:t xml:space="preserve"> for final comments and or signature.  A harmonized data user process is being drafted by the data </w:t>
      </w:r>
      <w:proofErr w:type="spellStart"/>
      <w:r>
        <w:t>centres</w:t>
      </w:r>
      <w:proofErr w:type="spellEnd"/>
      <w:r>
        <w:t xml:space="preserve"> to ensure compliance with the terms of the data sharing agreement.  </w:t>
      </w:r>
    </w:p>
    <w:p w:rsidR="004E632E" w:rsidRPr="00AC1386" w:rsidRDefault="004E632E" w:rsidP="004E632E">
      <w:pPr>
        <w:pStyle w:val="ListParagraph"/>
        <w:numPr>
          <w:ilvl w:val="0"/>
          <w:numId w:val="154"/>
        </w:numPr>
      </w:pPr>
      <w:r>
        <w:t>The first DASH request to use CLSA data has been received and is undergoing review.</w:t>
      </w:r>
    </w:p>
    <w:p w:rsidR="00707EB3" w:rsidRPr="000B1320" w:rsidRDefault="00707EB3" w:rsidP="00707EB3">
      <w:pPr>
        <w:pStyle w:val="Heading3"/>
      </w:pPr>
      <w:r w:rsidRPr="000B1320">
        <w:t>Challenges</w:t>
      </w:r>
      <w:bookmarkEnd w:id="24"/>
      <w:r w:rsidRPr="000B1320">
        <w:t xml:space="preserve"> </w:t>
      </w:r>
    </w:p>
    <w:p w:rsidR="004E632E" w:rsidRDefault="004E632E" w:rsidP="004E632E">
      <w:pPr>
        <w:pStyle w:val="ListParagraph"/>
        <w:numPr>
          <w:ilvl w:val="0"/>
          <w:numId w:val="156"/>
        </w:numPr>
      </w:pPr>
      <w:bookmarkStart w:id="25" w:name="_Toc139973548"/>
      <w:r>
        <w:t>The Strategic Partnerships portfolio is undergoing a staffing transition, so there has not been capacity to undertake any new work in this area.</w:t>
      </w:r>
    </w:p>
    <w:p w:rsidR="004E632E" w:rsidRPr="00705E95" w:rsidRDefault="004E632E" w:rsidP="004E632E">
      <w:pPr>
        <w:pStyle w:val="ListParagraph"/>
        <w:numPr>
          <w:ilvl w:val="0"/>
          <w:numId w:val="156"/>
        </w:numPr>
      </w:pPr>
      <w:r>
        <w:t xml:space="preserve">The first of four Data Sharing Agreements with </w:t>
      </w:r>
      <w:proofErr w:type="spellStart"/>
      <w:r>
        <w:t>CanPath’s</w:t>
      </w:r>
      <w:proofErr w:type="spellEnd"/>
      <w:r>
        <w:t xml:space="preserve"> Atlantic cohort has been with University of New Brunswick (UNB) legal counsel for review since September.  UNB counsel has met with Dalhousie University to clarify outstanding concerns.  It is the intention of Dalhousie University to use this first agreement as a template for agreements with PEI’s </w:t>
      </w:r>
      <w:r w:rsidRPr="006377EC">
        <w:t xml:space="preserve">Secure Island Data Repository (SIDR) </w:t>
      </w:r>
      <w:r>
        <w:t xml:space="preserve">and Newfoundland and Labrador’s </w:t>
      </w:r>
      <w:r w:rsidRPr="006377EC">
        <w:t xml:space="preserve">Newfoundland and Labrador Centre for Health Information </w:t>
      </w:r>
      <w:r>
        <w:t xml:space="preserve">(NLCHI). The agreement for sharing with Health Data Nova Scotia (HDNS) will be an internal agreement as </w:t>
      </w:r>
      <w:proofErr w:type="spellStart"/>
      <w:r>
        <w:t>CanPath’s</w:t>
      </w:r>
      <w:proofErr w:type="spellEnd"/>
      <w:r>
        <w:t xml:space="preserve"> Atlantic cohort and HDNS have the same legal authority. </w:t>
      </w:r>
    </w:p>
    <w:p w:rsidR="00707EB3" w:rsidRPr="000B1320" w:rsidRDefault="00707EB3" w:rsidP="00707EB3">
      <w:pPr>
        <w:pStyle w:val="Heading3"/>
      </w:pPr>
      <w:r w:rsidRPr="000B1320">
        <w:t>Risks</w:t>
      </w:r>
      <w:bookmarkEnd w:id="25"/>
    </w:p>
    <w:p w:rsidR="004E632E" w:rsidRPr="00705E95" w:rsidRDefault="004E632E" w:rsidP="004E632E">
      <w:pPr>
        <w:pStyle w:val="ListParagraph"/>
        <w:numPr>
          <w:ilvl w:val="0"/>
          <w:numId w:val="157"/>
        </w:numPr>
      </w:pPr>
      <w:bookmarkStart w:id="26" w:name="_Toc139973549"/>
      <w:r w:rsidRPr="00175095">
        <w:t xml:space="preserve">Ongoing attention is required to ensure original commitments to partners such as </w:t>
      </w:r>
      <w:proofErr w:type="spellStart"/>
      <w:r w:rsidRPr="00175095">
        <w:t>CanPath</w:t>
      </w:r>
      <w:proofErr w:type="spellEnd"/>
      <w:r w:rsidRPr="00175095">
        <w:t xml:space="preserve"> and CLSA are maintained as new areas of work for HDRN Canada are pursued</w:t>
      </w:r>
      <w:r>
        <w:t>.</w:t>
      </w:r>
    </w:p>
    <w:p w:rsidR="00707EB3" w:rsidRPr="005375CB" w:rsidRDefault="00707EB3" w:rsidP="007C2823">
      <w:pPr>
        <w:pStyle w:val="Heading2"/>
      </w:pPr>
      <w:r w:rsidRPr="005375CB">
        <w:lastRenderedPageBreak/>
        <w:t>Goal</w:t>
      </w:r>
      <w:r w:rsidR="007C2823">
        <w:t xml:space="preserve"> 5</w:t>
      </w:r>
      <w:r w:rsidRPr="005375CB">
        <w:t>: Strengthen Data Use to Improve Equity, and Support Indigenous-led Data Sovereignty</w:t>
      </w:r>
      <w:bookmarkEnd w:id="26"/>
      <w:r w:rsidRPr="005375CB" w:rsidDel="009E2960">
        <w:t xml:space="preserve"> </w:t>
      </w:r>
    </w:p>
    <w:p w:rsidR="00707EB3" w:rsidRPr="00937003" w:rsidRDefault="00707EB3" w:rsidP="00707EB3">
      <w:pPr>
        <w:pStyle w:val="Heading3"/>
      </w:pPr>
      <w:bookmarkStart w:id="27" w:name="_Toc139973550"/>
      <w:r w:rsidRPr="00937003">
        <w:t>Key developments since last meeting</w:t>
      </w:r>
      <w:bookmarkEnd w:id="27"/>
    </w:p>
    <w:p w:rsidR="004E632E" w:rsidRDefault="004E632E" w:rsidP="004E632E">
      <w:pPr>
        <w:pStyle w:val="ListParagraph"/>
        <w:numPr>
          <w:ilvl w:val="0"/>
          <w:numId w:val="157"/>
        </w:numPr>
      </w:pPr>
      <w:bookmarkStart w:id="28" w:name="_Toc139973551"/>
      <w:r w:rsidRPr="00F575B0">
        <w:t xml:space="preserve">The IDEA Team has three active sub-groups working on the following tasks:   </w:t>
      </w:r>
    </w:p>
    <w:p w:rsidR="004E632E" w:rsidRDefault="004E632E" w:rsidP="004E632E">
      <w:pPr>
        <w:pStyle w:val="ListParagraph"/>
        <w:numPr>
          <w:ilvl w:val="0"/>
          <w:numId w:val="158"/>
        </w:numPr>
      </w:pPr>
      <w:r w:rsidRPr="004F24F2">
        <w:t>IDEA Team Definitions and Principles: a process to decide on the definitions of Inclusion, Diversity, Equity, and Accessibility was undertaken. This sub-group also worked to identify the IDEA Team’s “Principles for Working Together.” These key documents will be added to the IDEA Team Ter</w:t>
      </w:r>
      <w:r>
        <w:t>ms of Reference. Additionally, w</w:t>
      </w:r>
      <w:r w:rsidRPr="004F24F2">
        <w:t xml:space="preserve">e are working with the Strategic Communications lead to share this work across the network and develop a process to adapt the definitions and principles to HDRN </w:t>
      </w:r>
      <w:r>
        <w:t xml:space="preserve">Canada </w:t>
      </w:r>
      <w:r w:rsidRPr="004F24F2">
        <w:t xml:space="preserve">as an organization.  </w:t>
      </w:r>
    </w:p>
    <w:p w:rsidR="004E632E" w:rsidRPr="004F24F2" w:rsidRDefault="004E632E" w:rsidP="004E632E">
      <w:pPr>
        <w:pStyle w:val="ListParagraph"/>
        <w:numPr>
          <w:ilvl w:val="0"/>
          <w:numId w:val="158"/>
        </w:numPr>
      </w:pPr>
      <w:r w:rsidRPr="004F24F2">
        <w:t>Environmental Scan: a survey has been developed to gauge the current state of IDEA activities across HDRN Canada organizations and SPOR SUPPORT Units. This survey will be delivered in fall</w:t>
      </w:r>
      <w:r>
        <w:t xml:space="preserve"> 2022</w:t>
      </w:r>
      <w:r w:rsidRPr="004F24F2">
        <w:t xml:space="preserve"> with a report to follow.  </w:t>
      </w:r>
    </w:p>
    <w:p w:rsidR="004E632E" w:rsidRPr="004F24F2" w:rsidRDefault="004E632E" w:rsidP="004E632E">
      <w:pPr>
        <w:pStyle w:val="ListParagraph"/>
        <w:numPr>
          <w:ilvl w:val="0"/>
          <w:numId w:val="158"/>
        </w:numPr>
      </w:pPr>
      <w:r w:rsidRPr="004F24F2">
        <w:t>Data Labels and Descriptions: a sub-group has been established to review and provide guidance for labels and their descriptions on the Data Asset Inventory. A presentation was made to the IDEA Team in Septemb</w:t>
      </w:r>
      <w:r>
        <w:t>er with work underway through</w:t>
      </w:r>
      <w:r w:rsidRPr="004F24F2">
        <w:t xml:space="preserve"> fall</w:t>
      </w:r>
      <w:r>
        <w:t xml:space="preserve"> 2022</w:t>
      </w:r>
      <w:r w:rsidRPr="004F24F2">
        <w:t>.</w:t>
      </w:r>
    </w:p>
    <w:p w:rsidR="004E632E" w:rsidRPr="004F24F2" w:rsidRDefault="004E632E" w:rsidP="004E632E">
      <w:pPr>
        <w:pStyle w:val="ListParagraph"/>
        <w:numPr>
          <w:ilvl w:val="0"/>
          <w:numId w:val="159"/>
        </w:numPr>
      </w:pPr>
      <w:r w:rsidRPr="004F24F2">
        <w:t xml:space="preserve">The IDEA Lead </w:t>
      </w:r>
      <w:r>
        <w:t>gave</w:t>
      </w:r>
      <w:r w:rsidRPr="004F24F2">
        <w:t xml:space="preserve"> a presentation at the Fall SPOR </w:t>
      </w:r>
      <w:r>
        <w:t>CDP Advisory Committee Meeting. To</w:t>
      </w:r>
      <w:r w:rsidRPr="004F24F2">
        <w:t>pics of discussion include</w:t>
      </w:r>
      <w:r>
        <w:t>d</w:t>
      </w:r>
      <w:r w:rsidRPr="004F24F2">
        <w:t xml:space="preserve"> disaggregated data and opportunities for cross collaboration in the IDEA space amongst SPOR entities</w:t>
      </w:r>
      <w:r>
        <w:t>.</w:t>
      </w:r>
      <w:r w:rsidRPr="004F24F2">
        <w:t xml:space="preserve"> </w:t>
      </w:r>
    </w:p>
    <w:p w:rsidR="004E632E" w:rsidRPr="004F24F2" w:rsidRDefault="004E632E" w:rsidP="004E632E">
      <w:pPr>
        <w:pStyle w:val="ListParagraph"/>
        <w:numPr>
          <w:ilvl w:val="0"/>
          <w:numId w:val="157"/>
        </w:numPr>
      </w:pPr>
      <w:r w:rsidRPr="004F24F2">
        <w:t xml:space="preserve">The IDEA Team is preparing a publication, with the goal of submitting to peer reviewed journals by December 2022.  </w:t>
      </w:r>
    </w:p>
    <w:p w:rsidR="004E632E" w:rsidRPr="004F24F2" w:rsidRDefault="004E632E" w:rsidP="004E632E">
      <w:pPr>
        <w:pStyle w:val="ListParagraph"/>
        <w:numPr>
          <w:ilvl w:val="0"/>
          <w:numId w:val="157"/>
        </w:numPr>
      </w:pPr>
      <w:r w:rsidRPr="004F24F2">
        <w:t xml:space="preserve">The IDEA Team is preparing an introductory resource guide and webinars for all HDRN </w:t>
      </w:r>
      <w:r>
        <w:t>Canada staff and Leads</w:t>
      </w:r>
      <w:r w:rsidRPr="004F24F2">
        <w:t xml:space="preserve"> and Exec</w:t>
      </w:r>
      <w:r>
        <w:t>utive Committee members</w:t>
      </w:r>
      <w:r w:rsidRPr="004F24F2">
        <w:t xml:space="preserve"> which will be released</w:t>
      </w:r>
      <w:r>
        <w:t xml:space="preserve"> in</w:t>
      </w:r>
      <w:r w:rsidRPr="004F24F2">
        <w:t xml:space="preserve"> early 2023. </w:t>
      </w:r>
    </w:p>
    <w:p w:rsidR="004E632E" w:rsidRPr="004F24F2" w:rsidRDefault="004E632E" w:rsidP="004E632E">
      <w:pPr>
        <w:pStyle w:val="ListParagraph"/>
        <w:numPr>
          <w:ilvl w:val="0"/>
          <w:numId w:val="157"/>
        </w:numPr>
      </w:pPr>
      <w:r w:rsidRPr="004F24F2">
        <w:t xml:space="preserve">The IDEA Lead continues to contribute to activities </w:t>
      </w:r>
      <w:r>
        <w:t>across</w:t>
      </w:r>
      <w:r w:rsidRPr="004F24F2">
        <w:t xml:space="preserve"> HDRN Canada and help to identify opportunities to embed IDEA in operations and in the data research process. Most recently, this has included contributions to the interim evaluation of HDRN </w:t>
      </w:r>
      <w:r>
        <w:lastRenderedPageBreak/>
        <w:t xml:space="preserve">Canada </w:t>
      </w:r>
      <w:r w:rsidRPr="004F24F2">
        <w:t xml:space="preserve">and contributions to the </w:t>
      </w:r>
      <w:r>
        <w:t>Strategic Science Fund</w:t>
      </w:r>
      <w:r w:rsidRPr="004F24F2">
        <w:t xml:space="preserve"> grant that was submitted in </w:t>
      </w:r>
      <w:r>
        <w:t>September, 2022</w:t>
      </w:r>
      <w:r w:rsidRPr="004F24F2">
        <w:t>.</w:t>
      </w:r>
    </w:p>
    <w:p w:rsidR="00707EB3" w:rsidRPr="00937003" w:rsidRDefault="00707EB3" w:rsidP="007C2823">
      <w:pPr>
        <w:pStyle w:val="Heading3"/>
      </w:pPr>
      <w:r w:rsidRPr="00937003">
        <w:t>Successes</w:t>
      </w:r>
      <w:bookmarkEnd w:id="28"/>
    </w:p>
    <w:p w:rsidR="004E632E" w:rsidRDefault="004E632E" w:rsidP="004E632E">
      <w:pPr>
        <w:pStyle w:val="ListParagraph"/>
        <w:numPr>
          <w:ilvl w:val="0"/>
          <w:numId w:val="160"/>
        </w:numPr>
      </w:pPr>
      <w:r>
        <w:t xml:space="preserve">The Indigenous Data Team (IDT) team have continued important exploratory conversations in the development of national Indigenous collaborations, including with the First Nations Information Governance Centre. </w:t>
      </w:r>
    </w:p>
    <w:p w:rsidR="004E632E" w:rsidRDefault="004E632E" w:rsidP="004E632E">
      <w:pPr>
        <w:pStyle w:val="ListParagraph"/>
        <w:numPr>
          <w:ilvl w:val="0"/>
          <w:numId w:val="160"/>
        </w:numPr>
      </w:pPr>
      <w:r>
        <w:t xml:space="preserve">The IDT team contributed to the development of an HDRN Canada-led application to the SSF through the inclusion of an Indigenous-led pathfinder project. </w:t>
      </w:r>
    </w:p>
    <w:p w:rsidR="004E632E" w:rsidRDefault="004E632E" w:rsidP="004E632E">
      <w:pPr>
        <w:pStyle w:val="ListParagraph"/>
        <w:numPr>
          <w:ilvl w:val="0"/>
          <w:numId w:val="160"/>
        </w:numPr>
      </w:pPr>
      <w:r>
        <w:t>The IDT team have submitted a workplan to move IDT priorities forward in response to the outgoing IDT lead’s Seven Seasons final report.</w:t>
      </w:r>
    </w:p>
    <w:p w:rsidR="004E632E" w:rsidRDefault="004E632E" w:rsidP="004E632E">
      <w:pPr>
        <w:pStyle w:val="ListParagraph"/>
        <w:numPr>
          <w:ilvl w:val="0"/>
          <w:numId w:val="160"/>
        </w:numPr>
      </w:pPr>
      <w:r>
        <w:t xml:space="preserve">The IDEA Lead presented at the IPDLN conference in Scotland. The talk provided an overview of IDEA at HDRN Canada, work to date, and future opportunities.   </w:t>
      </w:r>
    </w:p>
    <w:p w:rsidR="004E632E" w:rsidRDefault="004E632E" w:rsidP="004E632E">
      <w:pPr>
        <w:pStyle w:val="ListParagraph"/>
        <w:numPr>
          <w:ilvl w:val="0"/>
          <w:numId w:val="160"/>
        </w:numPr>
      </w:pPr>
      <w:r>
        <w:t xml:space="preserve">An IDEA Fellow has been hired. Their area of expertise is disaggregated data and gender diversity. Along with forwarding work and preparing deliverables in those areas, the IDEA Fellow will participate in paper writing and advising on IDEA Team initiatives. </w:t>
      </w:r>
    </w:p>
    <w:p w:rsidR="00707EB3" w:rsidRPr="007C2823" w:rsidRDefault="004E632E" w:rsidP="004E632E">
      <w:pPr>
        <w:pStyle w:val="ListParagraph"/>
        <w:numPr>
          <w:ilvl w:val="0"/>
          <w:numId w:val="160"/>
        </w:numPr>
      </w:pPr>
      <w:r>
        <w:t>A new resource, “IDEA in Everyday Decision Making,” was presented at the October Leads meeting. This resource will be operationalized in HDRN Canada onboarding practices, agenda templates, and explored more in an upcoming discussion session.</w:t>
      </w:r>
    </w:p>
    <w:p w:rsidR="00707EB3" w:rsidRPr="00937003" w:rsidRDefault="00707EB3" w:rsidP="00707EB3">
      <w:pPr>
        <w:pStyle w:val="Heading3"/>
      </w:pPr>
      <w:bookmarkStart w:id="29" w:name="_Toc139973552"/>
      <w:r w:rsidRPr="00937003">
        <w:t>Challenges</w:t>
      </w:r>
      <w:bookmarkEnd w:id="29"/>
      <w:r w:rsidRPr="00937003">
        <w:t xml:space="preserve"> </w:t>
      </w:r>
    </w:p>
    <w:p w:rsidR="004E632E" w:rsidRDefault="004E632E" w:rsidP="004E632E">
      <w:pPr>
        <w:pStyle w:val="ListParagraph"/>
        <w:numPr>
          <w:ilvl w:val="0"/>
          <w:numId w:val="161"/>
        </w:numPr>
      </w:pPr>
      <w:bookmarkStart w:id="30" w:name="_Toc139973553"/>
      <w:r>
        <w:t>The IDT lead resigned from her role in August, leaving a significant gap in the IDT resources and more broadly within the HDRN Canada’s capacity to support Indigenous-led research initiatives and Indigenous data sovereignty work. The IDT is responding to the outgoing lead’s report, which recommends a refocusing to respond to the well-known capacity challenges among Indigenous researchers, among other key recommendations.</w:t>
      </w:r>
    </w:p>
    <w:p w:rsidR="004E632E" w:rsidRDefault="004E632E" w:rsidP="004E632E">
      <w:pPr>
        <w:pStyle w:val="ListParagraph"/>
        <w:numPr>
          <w:ilvl w:val="0"/>
          <w:numId w:val="161"/>
        </w:numPr>
      </w:pPr>
      <w:r>
        <w:t>IDT and the HDRN Canada are challenged both by its capacity to support Indigenous-led data initiatives and understanding its role within the broader Indigenous data governance landscape. IDT is in the process of consultative restructuring and reprioritizing to address both challenges.</w:t>
      </w:r>
    </w:p>
    <w:p w:rsidR="004E632E" w:rsidRDefault="004E632E" w:rsidP="004E632E">
      <w:pPr>
        <w:pStyle w:val="ListParagraph"/>
        <w:numPr>
          <w:ilvl w:val="0"/>
          <w:numId w:val="161"/>
        </w:numPr>
      </w:pPr>
      <w:r>
        <w:lastRenderedPageBreak/>
        <w:t xml:space="preserve">With the departure of the IDT Lead, the shared work between the IDT Lead and the IDEA Lead, notable the Data for Equity? Newsletter, has paused. This work will continue following the restructuring and prioritization of the IDT. </w:t>
      </w:r>
    </w:p>
    <w:p w:rsidR="004E632E" w:rsidRDefault="004E632E" w:rsidP="004E632E">
      <w:pPr>
        <w:pStyle w:val="ListParagraph"/>
        <w:numPr>
          <w:ilvl w:val="0"/>
          <w:numId w:val="161"/>
        </w:numPr>
      </w:pPr>
      <w:r>
        <w:t xml:space="preserve">The IDEA Team includes 20+ members with a broad range of knowledge and expertise, with some coming from an operations background and others from a data or research background. Facilitating and channeling a group of this size remains a challenge.   </w:t>
      </w:r>
    </w:p>
    <w:p w:rsidR="004E632E" w:rsidRPr="00937003" w:rsidRDefault="004E632E" w:rsidP="004E632E">
      <w:pPr>
        <w:pStyle w:val="ListParagraph"/>
        <w:numPr>
          <w:ilvl w:val="0"/>
          <w:numId w:val="161"/>
        </w:numPr>
      </w:pPr>
      <w:r>
        <w:t>There remains a significant number of identified projects to be acted on to embed IDEA throughout HDRN Canada. Beyond the IDEA Lead, dedicated time and attention remain at a premium and are needed in order to pursue new deliverables/grant funding/educational opportunities. Additional resources may be needed.</w:t>
      </w:r>
    </w:p>
    <w:p w:rsidR="00707EB3" w:rsidRPr="00707EB3" w:rsidRDefault="00707EB3" w:rsidP="00707EB3">
      <w:pPr>
        <w:pStyle w:val="Heading3"/>
      </w:pPr>
      <w:r w:rsidRPr="00707EB3">
        <w:t>Risks</w:t>
      </w:r>
      <w:bookmarkEnd w:id="30"/>
    </w:p>
    <w:p w:rsidR="00707EB3" w:rsidRPr="00615D47" w:rsidRDefault="00707EB3" w:rsidP="00707EB3">
      <w:pPr>
        <w:pStyle w:val="ListParagraph"/>
        <w:numPr>
          <w:ilvl w:val="0"/>
          <w:numId w:val="107"/>
        </w:numPr>
      </w:pPr>
      <w:r>
        <w:t>None identified at this time</w:t>
      </w:r>
    </w:p>
    <w:p w:rsidR="007C2823" w:rsidRDefault="007C2823">
      <w:pPr>
        <w:spacing w:after="0" w:line="240" w:lineRule="auto"/>
        <w:rPr>
          <w:rFonts w:ascii="Lato" w:eastAsiaTheme="majorEastAsia" w:hAnsi="Lato" w:cstheme="majorBidi"/>
          <w:b/>
          <w:color w:val="006A78"/>
          <w:sz w:val="28"/>
          <w:szCs w:val="26"/>
        </w:rPr>
      </w:pPr>
      <w:r>
        <w:br w:type="page"/>
      </w:r>
    </w:p>
    <w:p w:rsidR="00707EB3" w:rsidRPr="00FA7BE3" w:rsidRDefault="00707EB3" w:rsidP="007C2823">
      <w:pPr>
        <w:pStyle w:val="Heading2"/>
      </w:pPr>
      <w:bookmarkStart w:id="31" w:name="_Toc139973554"/>
      <w:r w:rsidRPr="00FA7BE3">
        <w:lastRenderedPageBreak/>
        <w:t>Success Factor: Cohesive Network with Effective and Sustainable Operations</w:t>
      </w:r>
      <w:bookmarkEnd w:id="31"/>
    </w:p>
    <w:p w:rsidR="00707EB3" w:rsidRPr="00FA7BE3" w:rsidRDefault="00707EB3" w:rsidP="00707EB3">
      <w:pPr>
        <w:pStyle w:val="Heading3"/>
      </w:pPr>
      <w:bookmarkStart w:id="32" w:name="_Toc139973555"/>
      <w:r w:rsidRPr="00FA7BE3">
        <w:t>Key developments since last meeting</w:t>
      </w:r>
      <w:bookmarkEnd w:id="32"/>
    </w:p>
    <w:p w:rsidR="004E632E" w:rsidRPr="00FA7BE3" w:rsidRDefault="004E632E" w:rsidP="004E632E">
      <w:pPr>
        <w:pStyle w:val="ListParagraph"/>
        <w:numPr>
          <w:ilvl w:val="0"/>
          <w:numId w:val="107"/>
        </w:numPr>
      </w:pPr>
      <w:bookmarkStart w:id="33" w:name="_Toc139973556"/>
      <w:r w:rsidRPr="00FA7BE3">
        <w:t xml:space="preserve">HDRN Canada is moving from use of Confluence to Google Workspace. The transition is already underway and it is anticipated that use of Confluence will cease in Spring 2023. </w:t>
      </w:r>
    </w:p>
    <w:p w:rsidR="004E632E" w:rsidRPr="00FA7BE3" w:rsidRDefault="004E632E" w:rsidP="004E632E">
      <w:pPr>
        <w:pStyle w:val="ListParagraph"/>
        <w:numPr>
          <w:ilvl w:val="1"/>
          <w:numId w:val="162"/>
        </w:numPr>
      </w:pPr>
      <w:r w:rsidRPr="00FA7BE3">
        <w:t xml:space="preserve">A number of staffing changes have happened on the Central staff team. </w:t>
      </w:r>
    </w:p>
    <w:p w:rsidR="004E632E" w:rsidRPr="00FA7BE3" w:rsidRDefault="004E632E" w:rsidP="004E632E">
      <w:pPr>
        <w:pStyle w:val="ListParagraph"/>
        <w:numPr>
          <w:ilvl w:val="1"/>
          <w:numId w:val="162"/>
        </w:numPr>
      </w:pPr>
      <w:r w:rsidRPr="00FA7BE3">
        <w:t xml:space="preserve">The Communications Coordinator and Administration/Finance Coordinator have moved on to new opportunities. A job posting to recruit for a Communications Coordinator has been posted. </w:t>
      </w:r>
    </w:p>
    <w:p w:rsidR="004E632E" w:rsidRPr="00FA7BE3" w:rsidRDefault="004E632E" w:rsidP="004E632E">
      <w:pPr>
        <w:pStyle w:val="ListParagraph"/>
        <w:numPr>
          <w:ilvl w:val="1"/>
          <w:numId w:val="162"/>
        </w:numPr>
      </w:pPr>
      <w:r w:rsidRPr="00FA7BE3">
        <w:t>A Finance Coordinator has been hired and started work with HDRN Canada on November 2</w:t>
      </w:r>
      <w:r w:rsidRPr="004E632E">
        <w:rPr>
          <w:vertAlign w:val="superscript"/>
        </w:rPr>
        <w:t>nd</w:t>
      </w:r>
      <w:r w:rsidRPr="00FA7BE3">
        <w:t xml:space="preserve">. </w:t>
      </w:r>
    </w:p>
    <w:p w:rsidR="004E632E" w:rsidRPr="00FA7BE3" w:rsidRDefault="004E632E" w:rsidP="004E632E">
      <w:pPr>
        <w:pStyle w:val="ListParagraph"/>
        <w:numPr>
          <w:ilvl w:val="1"/>
          <w:numId w:val="162"/>
        </w:numPr>
      </w:pPr>
      <w:r w:rsidRPr="00FA7BE3">
        <w:t>A Strategic Communications and External Funder Relations specialist has been hired and started work with HDRN Canada on September 19th.</w:t>
      </w:r>
    </w:p>
    <w:p w:rsidR="00707EB3" w:rsidRPr="00FA7BE3" w:rsidRDefault="00707EB3" w:rsidP="00707EB3">
      <w:pPr>
        <w:pStyle w:val="Heading3"/>
      </w:pPr>
      <w:r w:rsidRPr="00FA7BE3">
        <w:t>Successes</w:t>
      </w:r>
      <w:bookmarkEnd w:id="33"/>
    </w:p>
    <w:p w:rsidR="004E632E" w:rsidRDefault="004E632E" w:rsidP="004E632E">
      <w:bookmarkStart w:id="34" w:name="_Toc139973557"/>
      <w:r w:rsidRPr="00FA7BE3">
        <w:t>The MIG continues to work closely with the main working groups of HDRN</w:t>
      </w:r>
      <w:r>
        <w:t xml:space="preserve"> Canada</w:t>
      </w:r>
      <w:r w:rsidRPr="00FA7BE3">
        <w:t xml:space="preserve"> </w:t>
      </w:r>
    </w:p>
    <w:p w:rsidR="004E632E" w:rsidRDefault="00707EB3" w:rsidP="00707EB3">
      <w:pPr>
        <w:pStyle w:val="Heading3"/>
      </w:pPr>
      <w:r w:rsidRPr="00FA7BE3">
        <w:t>Challenges</w:t>
      </w:r>
      <w:r w:rsidR="007C2823">
        <w:t xml:space="preserve"> </w:t>
      </w:r>
    </w:p>
    <w:p w:rsidR="004E632E" w:rsidRPr="00FA7BE3" w:rsidRDefault="004E632E" w:rsidP="004E632E">
      <w:pPr>
        <w:pStyle w:val="ListParagraph"/>
        <w:numPr>
          <w:ilvl w:val="0"/>
          <w:numId w:val="164"/>
        </w:numPr>
      </w:pPr>
      <w:r w:rsidRPr="00FA7BE3">
        <w:t>The MIG responds to decisions and outputs coming from all work groups. From a modeling perspective, a coherent, understandable, set of models is essential and necessitates cross-workgroup efforts at resolution of various issues. In this regard, there is increasing interest in the IDEA group, specifically in relation to inclusion and accessibility of modeling and outputs.</w:t>
      </w:r>
    </w:p>
    <w:p w:rsidR="004E632E" w:rsidRPr="004E632E" w:rsidRDefault="004E632E" w:rsidP="004E632E">
      <w:pPr>
        <w:pStyle w:val="ListParagraph"/>
        <w:numPr>
          <w:ilvl w:val="0"/>
          <w:numId w:val="164"/>
        </w:numPr>
      </w:pPr>
      <w:r w:rsidRPr="00FA7BE3">
        <w:t>In regard to the above, the MIG developed HDRN Canada Glossary needs to be brought up-to-date and made more accessible to encourage its wider use by working groups. Currently the DASH uses the glossary the most within HDRN Canada.</w:t>
      </w:r>
    </w:p>
    <w:p w:rsidR="00707EB3" w:rsidRPr="00FA7BE3" w:rsidRDefault="00707EB3" w:rsidP="00707EB3">
      <w:pPr>
        <w:pStyle w:val="Heading3"/>
      </w:pPr>
      <w:r w:rsidRPr="00FA7BE3">
        <w:t>Risks</w:t>
      </w:r>
      <w:bookmarkEnd w:id="34"/>
    </w:p>
    <w:p w:rsidR="00707EB3" w:rsidRPr="00A903A9" w:rsidRDefault="00707EB3" w:rsidP="00707EB3">
      <w:pPr>
        <w:pStyle w:val="ListParagraph"/>
        <w:numPr>
          <w:ilvl w:val="0"/>
          <w:numId w:val="103"/>
        </w:numPr>
      </w:pPr>
      <w:r>
        <w:t>None identified at this time</w:t>
      </w:r>
    </w:p>
    <w:p w:rsidR="00707EB3" w:rsidRPr="007C2823" w:rsidRDefault="00707EB3" w:rsidP="007C2823">
      <w:pPr>
        <w:pStyle w:val="Heading2"/>
      </w:pPr>
      <w:bookmarkStart w:id="35" w:name="_Toc139973558"/>
      <w:r w:rsidRPr="007C2823">
        <w:lastRenderedPageBreak/>
        <w:t>Success Factor: Supportive and Engaged Legislative and Policy Ecosystem and Community of Data Users</w:t>
      </w:r>
      <w:bookmarkEnd w:id="35"/>
    </w:p>
    <w:p w:rsidR="00707EB3" w:rsidRPr="000E0232" w:rsidRDefault="00707EB3" w:rsidP="00707EB3">
      <w:pPr>
        <w:pStyle w:val="Heading3"/>
      </w:pPr>
      <w:bookmarkStart w:id="36" w:name="_Toc139973559"/>
      <w:r w:rsidRPr="000E0232">
        <w:t>Key developments and successes since last meeting</w:t>
      </w:r>
      <w:bookmarkEnd w:id="36"/>
    </w:p>
    <w:p w:rsidR="004E632E" w:rsidRDefault="004E632E" w:rsidP="004E632E">
      <w:pPr>
        <w:pStyle w:val="ListParagraph"/>
        <w:numPr>
          <w:ilvl w:val="0"/>
          <w:numId w:val="103"/>
        </w:numPr>
      </w:pPr>
      <w:r w:rsidRPr="000E0232">
        <w:t>The sixth meeting of the Strategy for Patient Oriented Research (SPOR) Canadian Data Platform (CDP) Advisory Committee was held on October 26th,</w:t>
      </w:r>
      <w:r w:rsidRPr="00175095">
        <w:t xml:space="preserve"> which focused on a presentation </w:t>
      </w:r>
      <w:r>
        <w:t>by the IDEA T</w:t>
      </w:r>
      <w:r w:rsidRPr="00175095">
        <w:t>eam</w:t>
      </w:r>
      <w:r>
        <w:t xml:space="preserve"> Lead</w:t>
      </w:r>
    </w:p>
    <w:p w:rsidR="004E632E" w:rsidRDefault="004E632E" w:rsidP="004E632E">
      <w:pPr>
        <w:pStyle w:val="ListParagraph"/>
        <w:numPr>
          <w:ilvl w:val="0"/>
          <w:numId w:val="103"/>
        </w:numPr>
      </w:pPr>
      <w:r>
        <w:t xml:space="preserve">A number of HDRN Canada data </w:t>
      </w:r>
      <w:proofErr w:type="spellStart"/>
      <w:r>
        <w:t>centres</w:t>
      </w:r>
      <w:proofErr w:type="spellEnd"/>
      <w:r>
        <w:t xml:space="preserve"> engaged with their provincial/territorial government partners during the development of the SSF grant application to ensure awareness of HDRN Canada’s application and to gather feedback on how the proposed Real World Data Platform can be of most benefit to policy makers. </w:t>
      </w:r>
    </w:p>
    <w:p w:rsidR="007C2823" w:rsidRPr="004E632E" w:rsidRDefault="004E632E" w:rsidP="004E632E">
      <w:pPr>
        <w:pStyle w:val="ListParagraph"/>
        <w:numPr>
          <w:ilvl w:val="0"/>
          <w:numId w:val="103"/>
        </w:numPr>
      </w:pPr>
      <w:r w:rsidRPr="000E0232">
        <w:t xml:space="preserve">Many HDRN Canada leaders presented at the 2022 International </w:t>
      </w:r>
      <w:r>
        <w:t xml:space="preserve">Population Data Linkage Network, a major opportunity for networking and learning among data </w:t>
      </w:r>
      <w:proofErr w:type="spellStart"/>
      <w:r>
        <w:t>centres</w:t>
      </w:r>
      <w:proofErr w:type="spellEnd"/>
      <w:r>
        <w:t xml:space="preserve"> worldwide.</w:t>
      </w:r>
    </w:p>
    <w:p w:rsidR="007C2823" w:rsidRDefault="007C2823" w:rsidP="007C2823">
      <w:pPr>
        <w:pStyle w:val="Heading3"/>
      </w:pPr>
      <w:bookmarkStart w:id="37" w:name="_Toc139973561"/>
      <w:r>
        <w:t>Challenges and Risks</w:t>
      </w:r>
      <w:bookmarkEnd w:id="37"/>
    </w:p>
    <w:p w:rsidR="007C2823" w:rsidRPr="007C2823" w:rsidRDefault="004E632E" w:rsidP="007C2823">
      <w:pPr>
        <w:pStyle w:val="ListParagraph"/>
        <w:numPr>
          <w:ilvl w:val="0"/>
          <w:numId w:val="138"/>
        </w:numPr>
      </w:pPr>
      <w:r>
        <w:t>None identified at this time</w:t>
      </w:r>
      <w:r w:rsidR="007C2823" w:rsidRPr="00780172">
        <w:t xml:space="preserve">. </w:t>
      </w:r>
    </w:p>
    <w:sectPr w:rsidR="007C2823" w:rsidRPr="007C2823" w:rsidSect="007C2823">
      <w:headerReference w:type="default" r:id="rId12"/>
      <w:footerReference w:type="default" r:id="rId13"/>
      <w:pgSz w:w="12240" w:h="15840"/>
      <w:pgMar w:top="1660" w:right="1320" w:bottom="1420" w:left="132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B3F" w:rsidRDefault="00FE4B3F" w:rsidP="0084591A">
      <w:pPr>
        <w:spacing w:after="0" w:line="240" w:lineRule="auto"/>
      </w:pPr>
      <w:r>
        <w:separator/>
      </w:r>
    </w:p>
    <w:p w:rsidR="00FE4B3F" w:rsidRDefault="00FE4B3F"/>
  </w:endnote>
  <w:endnote w:type="continuationSeparator" w:id="0">
    <w:p w:rsidR="00FE4B3F" w:rsidRDefault="00FE4B3F" w:rsidP="0084591A">
      <w:pPr>
        <w:spacing w:after="0" w:line="240" w:lineRule="auto"/>
      </w:pPr>
      <w:r>
        <w:continuationSeparator/>
      </w:r>
    </w:p>
    <w:p w:rsidR="00FE4B3F" w:rsidRDefault="00FE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55384"/>
      <w:docPartObj>
        <w:docPartGallery w:val="Page Numbers (Bottom of Page)"/>
        <w:docPartUnique/>
      </w:docPartObj>
    </w:sdtPr>
    <w:sdtContent>
      <w:p w:rsidR="007C2823" w:rsidRDefault="007C2823"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C2823" w:rsidRDefault="007C2823" w:rsidP="007C2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014199"/>
      <w:docPartObj>
        <w:docPartGallery w:val="Page Numbers (Bottom of Page)"/>
        <w:docPartUnique/>
      </w:docPartObj>
    </w:sdtPr>
    <w:sdtContent>
      <w:p w:rsidR="007C2823" w:rsidRDefault="007C2823"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EB3" w:rsidRDefault="00707EB3" w:rsidP="007C2823">
    <w:pPr>
      <w:spacing w:line="14" w:lineRule="auto"/>
      <w:ind w:right="360"/>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B3F" w:rsidRDefault="00FE4B3F" w:rsidP="0084591A">
      <w:pPr>
        <w:spacing w:after="0" w:line="240" w:lineRule="auto"/>
      </w:pPr>
      <w:r>
        <w:separator/>
      </w:r>
    </w:p>
    <w:p w:rsidR="00FE4B3F" w:rsidRDefault="00FE4B3F"/>
  </w:footnote>
  <w:footnote w:type="continuationSeparator" w:id="0">
    <w:p w:rsidR="00FE4B3F" w:rsidRDefault="00FE4B3F" w:rsidP="0084591A">
      <w:pPr>
        <w:spacing w:after="0" w:line="240" w:lineRule="auto"/>
      </w:pPr>
      <w:r>
        <w:continuationSeparator/>
      </w:r>
    </w:p>
    <w:p w:rsidR="00FE4B3F" w:rsidRDefault="00FE4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1342900565" name="Picture 1342900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31217"/>
    <w:multiLevelType w:val="hybridMultilevel"/>
    <w:tmpl w:val="014C1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2713B72"/>
    <w:multiLevelType w:val="hybridMultilevel"/>
    <w:tmpl w:val="793EBE9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2" w15:restartNumberingAfterBreak="0">
    <w:nsid w:val="16585D13"/>
    <w:multiLevelType w:val="hybridMultilevel"/>
    <w:tmpl w:val="EE24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D0775E"/>
    <w:multiLevelType w:val="hybridMultilevel"/>
    <w:tmpl w:val="305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FB4FA7"/>
    <w:multiLevelType w:val="hybridMultilevel"/>
    <w:tmpl w:val="2570A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CB42E5"/>
    <w:multiLevelType w:val="hybridMultilevel"/>
    <w:tmpl w:val="3FE6EC80"/>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0115A47"/>
    <w:multiLevelType w:val="hybridMultilevel"/>
    <w:tmpl w:val="B414FF5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54B5C22"/>
    <w:multiLevelType w:val="hybridMultilevel"/>
    <w:tmpl w:val="9FF05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915247"/>
    <w:multiLevelType w:val="hybridMultilevel"/>
    <w:tmpl w:val="72140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8DE7704"/>
    <w:multiLevelType w:val="hybridMultilevel"/>
    <w:tmpl w:val="574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D5F40DA"/>
    <w:multiLevelType w:val="hybridMultilevel"/>
    <w:tmpl w:val="6F3CB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26F0380"/>
    <w:multiLevelType w:val="hybridMultilevel"/>
    <w:tmpl w:val="70306C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34100B9"/>
    <w:multiLevelType w:val="hybridMultilevel"/>
    <w:tmpl w:val="CF7E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0813B7"/>
    <w:multiLevelType w:val="hybridMultilevel"/>
    <w:tmpl w:val="0BEC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6E3021"/>
    <w:multiLevelType w:val="hybridMultilevel"/>
    <w:tmpl w:val="19E4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7E748A3"/>
    <w:multiLevelType w:val="hybridMultilevel"/>
    <w:tmpl w:val="90A20986"/>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75" w15:restartNumberingAfterBreak="0">
    <w:nsid w:val="3DA70017"/>
    <w:multiLevelType w:val="hybridMultilevel"/>
    <w:tmpl w:val="94AABF0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4FD5BF9"/>
    <w:multiLevelType w:val="hybridMultilevel"/>
    <w:tmpl w:val="3D18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866513"/>
    <w:multiLevelType w:val="hybridMultilevel"/>
    <w:tmpl w:val="02E679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5"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83C7523"/>
    <w:multiLevelType w:val="hybridMultilevel"/>
    <w:tmpl w:val="22240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3"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01"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C3162C"/>
    <w:multiLevelType w:val="hybridMultilevel"/>
    <w:tmpl w:val="779E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54340983"/>
    <w:multiLevelType w:val="hybridMultilevel"/>
    <w:tmpl w:val="42066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10"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7"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25"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7"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42771B4"/>
    <w:multiLevelType w:val="hybridMultilevel"/>
    <w:tmpl w:val="30CC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4317A9D"/>
    <w:multiLevelType w:val="hybridMultilevel"/>
    <w:tmpl w:val="602A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5"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6" w15:restartNumberingAfterBreak="0">
    <w:nsid w:val="673518B5"/>
    <w:multiLevelType w:val="hybridMultilevel"/>
    <w:tmpl w:val="5298FC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7" w15:restartNumberingAfterBreak="0">
    <w:nsid w:val="682108C3"/>
    <w:multiLevelType w:val="hybridMultilevel"/>
    <w:tmpl w:val="BC98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9"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9A47354"/>
    <w:multiLevelType w:val="hybridMultilevel"/>
    <w:tmpl w:val="69DA453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1732435"/>
    <w:multiLevelType w:val="hybridMultilevel"/>
    <w:tmpl w:val="CD2C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51"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2"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6"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78FE745E"/>
    <w:multiLevelType w:val="hybridMultilevel"/>
    <w:tmpl w:val="190084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BE26E2F"/>
    <w:multiLevelType w:val="hybridMultilevel"/>
    <w:tmpl w:val="BE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99"/>
  </w:num>
  <w:num w:numId="2" w16cid:durableId="1778601442">
    <w:abstractNumId w:val="163"/>
  </w:num>
  <w:num w:numId="3" w16cid:durableId="505093450">
    <w:abstractNumId w:val="65"/>
  </w:num>
  <w:num w:numId="4" w16cid:durableId="216211936">
    <w:abstractNumId w:val="70"/>
  </w:num>
  <w:num w:numId="5" w16cid:durableId="1110855558">
    <w:abstractNumId w:val="34"/>
  </w:num>
  <w:num w:numId="6" w16cid:durableId="668215877">
    <w:abstractNumId w:val="119"/>
  </w:num>
  <w:num w:numId="7" w16cid:durableId="1239439429">
    <w:abstractNumId w:val="4"/>
  </w:num>
  <w:num w:numId="8" w16cid:durableId="284044127">
    <w:abstractNumId w:val="38"/>
  </w:num>
  <w:num w:numId="9" w16cid:durableId="867137962">
    <w:abstractNumId w:val="67"/>
  </w:num>
  <w:num w:numId="10" w16cid:durableId="1620647205">
    <w:abstractNumId w:val="120"/>
  </w:num>
  <w:num w:numId="11" w16cid:durableId="1602756067">
    <w:abstractNumId w:val="73"/>
  </w:num>
  <w:num w:numId="12" w16cid:durableId="1897740764">
    <w:abstractNumId w:val="146"/>
  </w:num>
  <w:num w:numId="13" w16cid:durableId="1011832149">
    <w:abstractNumId w:val="114"/>
  </w:num>
  <w:num w:numId="14" w16cid:durableId="1413166231">
    <w:abstractNumId w:val="81"/>
  </w:num>
  <w:num w:numId="15" w16cid:durableId="18086203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86"/>
  </w:num>
  <w:num w:numId="17" w16cid:durableId="1355692547">
    <w:abstractNumId w:val="134"/>
  </w:num>
  <w:num w:numId="18" w16cid:durableId="1101954039">
    <w:abstractNumId w:val="116"/>
  </w:num>
  <w:num w:numId="19" w16cid:durableId="300304332">
    <w:abstractNumId w:val="78"/>
  </w:num>
  <w:num w:numId="20" w16cid:durableId="407923977">
    <w:abstractNumId w:val="103"/>
  </w:num>
  <w:num w:numId="21" w16cid:durableId="1040204723">
    <w:abstractNumId w:val="49"/>
  </w:num>
  <w:num w:numId="22" w16cid:durableId="1850874684">
    <w:abstractNumId w:val="138"/>
  </w:num>
  <w:num w:numId="23" w16cid:durableId="1695958076">
    <w:abstractNumId w:val="129"/>
  </w:num>
  <w:num w:numId="24" w16cid:durableId="786044748">
    <w:abstractNumId w:val="0"/>
  </w:num>
  <w:num w:numId="25" w16cid:durableId="278032932">
    <w:abstractNumId w:val="24"/>
  </w:num>
  <w:num w:numId="26" w16cid:durableId="1690133998">
    <w:abstractNumId w:val="58"/>
  </w:num>
  <w:num w:numId="27" w16cid:durableId="2002854527">
    <w:abstractNumId w:val="16"/>
  </w:num>
  <w:num w:numId="28" w16cid:durableId="1555463399">
    <w:abstractNumId w:val="153"/>
  </w:num>
  <w:num w:numId="29" w16cid:durableId="927350382">
    <w:abstractNumId w:val="94"/>
  </w:num>
  <w:num w:numId="30" w16cid:durableId="550850048">
    <w:abstractNumId w:val="36"/>
  </w:num>
  <w:num w:numId="31" w16cid:durableId="212278181">
    <w:abstractNumId w:val="72"/>
  </w:num>
  <w:num w:numId="32" w16cid:durableId="1233349150">
    <w:abstractNumId w:val="111"/>
  </w:num>
  <w:num w:numId="33" w16cid:durableId="924916850">
    <w:abstractNumId w:val="1"/>
  </w:num>
  <w:num w:numId="34" w16cid:durableId="899171851">
    <w:abstractNumId w:val="85"/>
  </w:num>
  <w:num w:numId="35" w16cid:durableId="502208143">
    <w:abstractNumId w:val="37"/>
  </w:num>
  <w:num w:numId="36" w16cid:durableId="624697760">
    <w:abstractNumId w:val="102"/>
  </w:num>
  <w:num w:numId="37" w16cid:durableId="372921404">
    <w:abstractNumId w:val="83"/>
  </w:num>
  <w:num w:numId="38" w16cid:durableId="1842888702">
    <w:abstractNumId w:val="76"/>
  </w:num>
  <w:num w:numId="39" w16cid:durableId="144052882">
    <w:abstractNumId w:val="32"/>
  </w:num>
  <w:num w:numId="40" w16cid:durableId="1944220387">
    <w:abstractNumId w:val="90"/>
  </w:num>
  <w:num w:numId="41" w16cid:durableId="80762835">
    <w:abstractNumId w:val="124"/>
  </w:num>
  <w:num w:numId="42" w16cid:durableId="1029066860">
    <w:abstractNumId w:val="15"/>
  </w:num>
  <w:num w:numId="43" w16cid:durableId="682362525">
    <w:abstractNumId w:val="147"/>
  </w:num>
  <w:num w:numId="44" w16cid:durableId="571892035">
    <w:abstractNumId w:val="74"/>
  </w:num>
  <w:num w:numId="45" w16cid:durableId="566965191">
    <w:abstractNumId w:val="21"/>
  </w:num>
  <w:num w:numId="46" w16cid:durableId="415250540">
    <w:abstractNumId w:val="150"/>
  </w:num>
  <w:num w:numId="47" w16cid:durableId="1128815514">
    <w:abstractNumId w:val="127"/>
  </w:num>
  <w:num w:numId="48" w16cid:durableId="1630550085">
    <w:abstractNumId w:val="123"/>
  </w:num>
  <w:num w:numId="49" w16cid:durableId="2007635197">
    <w:abstractNumId w:val="139"/>
  </w:num>
  <w:num w:numId="50" w16cid:durableId="754320548">
    <w:abstractNumId w:val="63"/>
  </w:num>
  <w:num w:numId="51" w16cid:durableId="349838056">
    <w:abstractNumId w:val="144"/>
  </w:num>
  <w:num w:numId="52" w16cid:durableId="1158763957">
    <w:abstractNumId w:val="96"/>
  </w:num>
  <w:num w:numId="53" w16cid:durableId="1305695931">
    <w:abstractNumId w:val="31"/>
  </w:num>
  <w:num w:numId="54" w16cid:durableId="2001275504">
    <w:abstractNumId w:val="52"/>
  </w:num>
  <w:num w:numId="55" w16cid:durableId="10421650">
    <w:abstractNumId w:val="121"/>
  </w:num>
  <w:num w:numId="56" w16cid:durableId="659964455">
    <w:abstractNumId w:val="11"/>
  </w:num>
  <w:num w:numId="57" w16cid:durableId="930505338">
    <w:abstractNumId w:val="47"/>
  </w:num>
  <w:num w:numId="58" w16cid:durableId="153566162">
    <w:abstractNumId w:val="50"/>
  </w:num>
  <w:num w:numId="59" w16cid:durableId="381828386">
    <w:abstractNumId w:val="18"/>
  </w:num>
  <w:num w:numId="60" w16cid:durableId="757869316">
    <w:abstractNumId w:val="84"/>
  </w:num>
  <w:num w:numId="61" w16cid:durableId="582102295">
    <w:abstractNumId w:val="9"/>
  </w:num>
  <w:num w:numId="62" w16cid:durableId="805010255">
    <w:abstractNumId w:val="87"/>
  </w:num>
  <w:num w:numId="63" w16cid:durableId="1816137804">
    <w:abstractNumId w:val="132"/>
  </w:num>
  <w:num w:numId="64" w16cid:durableId="1194273384">
    <w:abstractNumId w:val="17"/>
  </w:num>
  <w:num w:numId="65" w16cid:durableId="1287464925">
    <w:abstractNumId w:val="10"/>
  </w:num>
  <w:num w:numId="66" w16cid:durableId="1435979074">
    <w:abstractNumId w:val="117"/>
  </w:num>
  <w:num w:numId="67" w16cid:durableId="184292597">
    <w:abstractNumId w:val="79"/>
  </w:num>
  <w:num w:numId="68" w16cid:durableId="146216996">
    <w:abstractNumId w:val="93"/>
  </w:num>
  <w:num w:numId="69" w16cid:durableId="1648977678">
    <w:abstractNumId w:val="97"/>
  </w:num>
  <w:num w:numId="70" w16cid:durableId="1501509700">
    <w:abstractNumId w:val="92"/>
  </w:num>
  <w:num w:numId="71" w16cid:durableId="1307007972">
    <w:abstractNumId w:val="19"/>
  </w:num>
  <w:num w:numId="72" w16cid:durableId="1987739639">
    <w:abstractNumId w:val="135"/>
  </w:num>
  <w:num w:numId="73" w16cid:durableId="1659260618">
    <w:abstractNumId w:val="108"/>
  </w:num>
  <w:num w:numId="74" w16cid:durableId="1580752058">
    <w:abstractNumId w:val="51"/>
  </w:num>
  <w:num w:numId="75" w16cid:durableId="1808931504">
    <w:abstractNumId w:val="154"/>
  </w:num>
  <w:num w:numId="76" w16cid:durableId="320617831">
    <w:abstractNumId w:val="106"/>
  </w:num>
  <w:num w:numId="77" w16cid:durableId="1107770244">
    <w:abstractNumId w:val="3"/>
  </w:num>
  <w:num w:numId="78" w16cid:durableId="1649627917">
    <w:abstractNumId w:val="105"/>
  </w:num>
  <w:num w:numId="79" w16cid:durableId="252471704">
    <w:abstractNumId w:val="100"/>
  </w:num>
  <w:num w:numId="80" w16cid:durableId="959460168">
    <w:abstractNumId w:val="109"/>
  </w:num>
  <w:num w:numId="81" w16cid:durableId="233243545">
    <w:abstractNumId w:val="39"/>
  </w:num>
  <w:num w:numId="82" w16cid:durableId="493763327">
    <w:abstractNumId w:val="6"/>
  </w:num>
  <w:num w:numId="83" w16cid:durableId="217985079">
    <w:abstractNumId w:val="125"/>
  </w:num>
  <w:num w:numId="84" w16cid:durableId="396632049">
    <w:abstractNumId w:val="12"/>
  </w:num>
  <w:num w:numId="85" w16cid:durableId="1835336145">
    <w:abstractNumId w:val="145"/>
  </w:num>
  <w:num w:numId="86" w16cid:durableId="177618857">
    <w:abstractNumId w:val="156"/>
  </w:num>
  <w:num w:numId="87" w16cid:durableId="2063091481">
    <w:abstractNumId w:val="98"/>
  </w:num>
  <w:num w:numId="88" w16cid:durableId="1603534940">
    <w:abstractNumId w:val="159"/>
  </w:num>
  <w:num w:numId="89" w16cid:durableId="824858955">
    <w:abstractNumId w:val="48"/>
  </w:num>
  <w:num w:numId="90" w16cid:durableId="859776839">
    <w:abstractNumId w:val="29"/>
  </w:num>
  <w:num w:numId="91" w16cid:durableId="292952400">
    <w:abstractNumId w:val="55"/>
  </w:num>
  <w:num w:numId="92" w16cid:durableId="607127436">
    <w:abstractNumId w:val="46"/>
  </w:num>
  <w:num w:numId="93" w16cid:durableId="1177036108">
    <w:abstractNumId w:val="25"/>
  </w:num>
  <w:num w:numId="94" w16cid:durableId="1776558377">
    <w:abstractNumId w:val="110"/>
  </w:num>
  <w:num w:numId="95" w16cid:durableId="1472863544">
    <w:abstractNumId w:val="126"/>
  </w:num>
  <w:num w:numId="96" w16cid:durableId="2067147535">
    <w:abstractNumId w:val="5"/>
  </w:num>
  <w:num w:numId="97" w16cid:durableId="1523519523">
    <w:abstractNumId w:val="155"/>
  </w:num>
  <w:num w:numId="98" w16cid:durableId="1654336843">
    <w:abstractNumId w:val="112"/>
  </w:num>
  <w:num w:numId="99" w16cid:durableId="1794783790">
    <w:abstractNumId w:val="62"/>
  </w:num>
  <w:num w:numId="100" w16cid:durableId="1708023528">
    <w:abstractNumId w:val="44"/>
  </w:num>
  <w:num w:numId="101" w16cid:durableId="1194344848">
    <w:abstractNumId w:val="143"/>
  </w:num>
  <w:num w:numId="102" w16cid:durableId="1758744455">
    <w:abstractNumId w:val="54"/>
  </w:num>
  <w:num w:numId="103" w16cid:durableId="650183615">
    <w:abstractNumId w:val="149"/>
  </w:num>
  <w:num w:numId="104" w16cid:durableId="1878345898">
    <w:abstractNumId w:val="148"/>
  </w:num>
  <w:num w:numId="105" w16cid:durableId="423110661">
    <w:abstractNumId w:val="14"/>
  </w:num>
  <w:num w:numId="106" w16cid:durableId="1302346710">
    <w:abstractNumId w:val="95"/>
  </w:num>
  <w:num w:numId="107" w16cid:durableId="662196786">
    <w:abstractNumId w:val="7"/>
  </w:num>
  <w:num w:numId="108" w16cid:durableId="107941157">
    <w:abstractNumId w:val="128"/>
  </w:num>
  <w:num w:numId="109" w16cid:durableId="942569995">
    <w:abstractNumId w:val="101"/>
  </w:num>
  <w:num w:numId="110" w16cid:durableId="333190053">
    <w:abstractNumId w:val="118"/>
  </w:num>
  <w:num w:numId="111" w16cid:durableId="1134761904">
    <w:abstractNumId w:val="151"/>
  </w:num>
  <w:num w:numId="112" w16cid:durableId="1946888081">
    <w:abstractNumId w:val="115"/>
  </w:num>
  <w:num w:numId="113" w16cid:durableId="776101593">
    <w:abstractNumId w:val="57"/>
  </w:num>
  <w:num w:numId="114" w16cid:durableId="1463579238">
    <w:abstractNumId w:val="162"/>
  </w:num>
  <w:num w:numId="115" w16cid:durableId="1729766733">
    <w:abstractNumId w:val="71"/>
  </w:num>
  <w:num w:numId="116" w16cid:durableId="1696232012">
    <w:abstractNumId w:val="160"/>
  </w:num>
  <w:num w:numId="117" w16cid:durableId="1756172646">
    <w:abstractNumId w:val="43"/>
  </w:num>
  <w:num w:numId="118" w16cid:durableId="974140168">
    <w:abstractNumId w:val="8"/>
  </w:num>
  <w:num w:numId="119" w16cid:durableId="1343242107">
    <w:abstractNumId w:val="27"/>
  </w:num>
  <w:num w:numId="120" w16cid:durableId="856430401">
    <w:abstractNumId w:val="88"/>
  </w:num>
  <w:num w:numId="121" w16cid:durableId="554000975">
    <w:abstractNumId w:val="161"/>
  </w:num>
  <w:num w:numId="122" w16cid:durableId="1545630366">
    <w:abstractNumId w:val="104"/>
  </w:num>
  <w:num w:numId="123" w16cid:durableId="336467419">
    <w:abstractNumId w:val="59"/>
  </w:num>
  <w:num w:numId="124" w16cid:durableId="1377507349">
    <w:abstractNumId w:val="133"/>
  </w:num>
  <w:num w:numId="125" w16cid:durableId="168642364">
    <w:abstractNumId w:val="2"/>
  </w:num>
  <w:num w:numId="126" w16cid:durableId="951477656">
    <w:abstractNumId w:val="152"/>
  </w:num>
  <w:num w:numId="127" w16cid:durableId="485556914">
    <w:abstractNumId w:val="23"/>
  </w:num>
  <w:num w:numId="128" w16cid:durableId="971129022">
    <w:abstractNumId w:val="77"/>
  </w:num>
  <w:num w:numId="129" w16cid:durableId="70548799">
    <w:abstractNumId w:val="122"/>
  </w:num>
  <w:num w:numId="130" w16cid:durableId="1675304003">
    <w:abstractNumId w:val="141"/>
  </w:num>
  <w:num w:numId="131" w16cid:durableId="1452283615">
    <w:abstractNumId w:val="30"/>
  </w:num>
  <w:num w:numId="132" w16cid:durableId="958924185">
    <w:abstractNumId w:val="142"/>
  </w:num>
  <w:num w:numId="133" w16cid:durableId="236020692">
    <w:abstractNumId w:val="13"/>
  </w:num>
  <w:num w:numId="134" w16cid:durableId="2033996866">
    <w:abstractNumId w:val="64"/>
  </w:num>
  <w:num w:numId="135" w16cid:durableId="1584530709">
    <w:abstractNumId w:val="42"/>
  </w:num>
  <w:num w:numId="136" w16cid:durableId="1130979038">
    <w:abstractNumId w:val="35"/>
  </w:num>
  <w:num w:numId="137" w16cid:durableId="1626306029">
    <w:abstractNumId w:val="89"/>
  </w:num>
  <w:num w:numId="138" w16cid:durableId="201208156">
    <w:abstractNumId w:val="113"/>
  </w:num>
  <w:num w:numId="139" w16cid:durableId="387993494">
    <w:abstractNumId w:val="131"/>
  </w:num>
  <w:num w:numId="140" w16cid:durableId="894394973">
    <w:abstractNumId w:val="91"/>
  </w:num>
  <w:num w:numId="141" w16cid:durableId="760756605">
    <w:abstractNumId w:val="56"/>
  </w:num>
  <w:num w:numId="142" w16cid:durableId="1113287721">
    <w:abstractNumId w:val="61"/>
  </w:num>
  <w:num w:numId="143" w16cid:durableId="1109356585">
    <w:abstractNumId w:val="26"/>
  </w:num>
  <w:num w:numId="144" w16cid:durableId="2128962091">
    <w:abstractNumId w:val="130"/>
  </w:num>
  <w:num w:numId="145" w16cid:durableId="1922133173">
    <w:abstractNumId w:val="53"/>
  </w:num>
  <w:num w:numId="146" w16cid:durableId="2076392037">
    <w:abstractNumId w:val="137"/>
  </w:num>
  <w:num w:numId="147" w16cid:durableId="996036093">
    <w:abstractNumId w:val="68"/>
  </w:num>
  <w:num w:numId="148" w16cid:durableId="576868238">
    <w:abstractNumId w:val="107"/>
  </w:num>
  <w:num w:numId="149" w16cid:durableId="19162326">
    <w:abstractNumId w:val="33"/>
  </w:num>
  <w:num w:numId="150" w16cid:durableId="1648628787">
    <w:abstractNumId w:val="28"/>
  </w:num>
  <w:num w:numId="151" w16cid:durableId="446462995">
    <w:abstractNumId w:val="69"/>
  </w:num>
  <w:num w:numId="152" w16cid:durableId="1354770852">
    <w:abstractNumId w:val="82"/>
  </w:num>
  <w:num w:numId="153" w16cid:durableId="298000256">
    <w:abstractNumId w:val="22"/>
  </w:num>
  <w:num w:numId="154" w16cid:durableId="1692873530">
    <w:abstractNumId w:val="140"/>
  </w:num>
  <w:num w:numId="155" w16cid:durableId="2132169967">
    <w:abstractNumId w:val="20"/>
  </w:num>
  <w:num w:numId="156" w16cid:durableId="1747916912">
    <w:abstractNumId w:val="60"/>
  </w:num>
  <w:num w:numId="157" w16cid:durableId="1502086161">
    <w:abstractNumId w:val="66"/>
  </w:num>
  <w:num w:numId="158" w16cid:durableId="421604860">
    <w:abstractNumId w:val="75"/>
  </w:num>
  <w:num w:numId="159" w16cid:durableId="1746562213">
    <w:abstractNumId w:val="80"/>
  </w:num>
  <w:num w:numId="160" w16cid:durableId="1665432864">
    <w:abstractNumId w:val="158"/>
  </w:num>
  <w:num w:numId="161" w16cid:durableId="1151946117">
    <w:abstractNumId w:val="45"/>
  </w:num>
  <w:num w:numId="162" w16cid:durableId="280844909">
    <w:abstractNumId w:val="40"/>
  </w:num>
  <w:num w:numId="163" w16cid:durableId="690687463">
    <w:abstractNumId w:val="157"/>
  </w:num>
  <w:num w:numId="164" w16cid:durableId="2135711150">
    <w:abstractNumId w:val="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210EF7"/>
    <w:rsid w:val="00327D92"/>
    <w:rsid w:val="00331B32"/>
    <w:rsid w:val="00387569"/>
    <w:rsid w:val="003A5177"/>
    <w:rsid w:val="003D1176"/>
    <w:rsid w:val="0040407E"/>
    <w:rsid w:val="004A0518"/>
    <w:rsid w:val="004D0EE8"/>
    <w:rsid w:val="004E632E"/>
    <w:rsid w:val="00652AC9"/>
    <w:rsid w:val="006844CE"/>
    <w:rsid w:val="0069403C"/>
    <w:rsid w:val="006A4E76"/>
    <w:rsid w:val="006B239A"/>
    <w:rsid w:val="006D1BA6"/>
    <w:rsid w:val="006E27D0"/>
    <w:rsid w:val="006F565E"/>
    <w:rsid w:val="00707EB3"/>
    <w:rsid w:val="0071684B"/>
    <w:rsid w:val="00730AF8"/>
    <w:rsid w:val="00757096"/>
    <w:rsid w:val="00780F5C"/>
    <w:rsid w:val="00786A71"/>
    <w:rsid w:val="007C2823"/>
    <w:rsid w:val="0081034D"/>
    <w:rsid w:val="00816482"/>
    <w:rsid w:val="00831983"/>
    <w:rsid w:val="0084591A"/>
    <w:rsid w:val="008936D7"/>
    <w:rsid w:val="008A1F1F"/>
    <w:rsid w:val="008E17D2"/>
    <w:rsid w:val="008F506A"/>
    <w:rsid w:val="00924ACE"/>
    <w:rsid w:val="009B5DA7"/>
    <w:rsid w:val="009E0CED"/>
    <w:rsid w:val="009E3A27"/>
    <w:rsid w:val="00A35E79"/>
    <w:rsid w:val="00B07670"/>
    <w:rsid w:val="00B1283B"/>
    <w:rsid w:val="00B41A2D"/>
    <w:rsid w:val="00B62574"/>
    <w:rsid w:val="00B8234F"/>
    <w:rsid w:val="00BB0A93"/>
    <w:rsid w:val="00BF6CD5"/>
    <w:rsid w:val="00C16153"/>
    <w:rsid w:val="00CE4238"/>
    <w:rsid w:val="00D32F77"/>
    <w:rsid w:val="00D868E1"/>
    <w:rsid w:val="00DF021C"/>
    <w:rsid w:val="00E43A97"/>
    <w:rsid w:val="00E64926"/>
    <w:rsid w:val="00EE32AD"/>
    <w:rsid w:val="00F167E8"/>
    <w:rsid w:val="00F21909"/>
    <w:rsid w:val="00F37864"/>
    <w:rsid w:val="00F51A42"/>
    <w:rsid w:val="00FB6617"/>
    <w:rsid w:val="00FC344A"/>
    <w:rsid w:val="00FE4B3F"/>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C282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07EB3"/>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C282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07EB3"/>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B1283B"/>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B1283B"/>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3991</Words>
  <Characters>21315</Characters>
  <Application>Microsoft Office Word</Application>
  <DocSecurity>2</DocSecurity>
  <Lines>463</Lines>
  <Paragraphs>234</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November 2022</dc:title>
  <dc:subject/>
  <dc:creator>HDRN Canada</dc:creator>
  <cp:keywords/>
  <dc:description/>
  <cp:lastModifiedBy>Shazmeen Omar</cp:lastModifiedBy>
  <cp:revision>5</cp:revision>
  <dcterms:created xsi:type="dcterms:W3CDTF">2023-07-11T21:53:00Z</dcterms:created>
  <dcterms:modified xsi:type="dcterms:W3CDTF">2023-07-14T23:26:00Z</dcterms:modified>
  <cp:category/>
</cp:coreProperties>
</file>