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57C0" w:rsidRPr="005B47AE" w:rsidRDefault="008057C0" w:rsidP="008057C0">
      <w:pPr>
        <w:pStyle w:val="Title"/>
        <w:rPr>
          <w:color w:val="00274A"/>
        </w:rPr>
      </w:pPr>
      <w:r w:rsidRPr="005B47AE">
        <w:rPr>
          <w:noProof/>
          <w:color w:val="00274A"/>
        </w:rPr>
        <mc:AlternateContent>
          <mc:Choice Requires="wpg">
            <w:drawing>
              <wp:anchor distT="0" distB="0" distL="114300" distR="114300" simplePos="0" relativeHeight="251659264" behindDoc="1" locked="1" layoutInCell="1" allowOverlap="1" wp14:anchorId="285B7262" wp14:editId="573FE79A">
                <wp:simplePos x="0" y="0"/>
                <wp:positionH relativeFrom="column">
                  <wp:posOffset>-1739900</wp:posOffset>
                </wp:positionH>
                <wp:positionV relativeFrom="paragraph">
                  <wp:posOffset>7510780</wp:posOffset>
                </wp:positionV>
                <wp:extent cx="9334500" cy="3385185"/>
                <wp:effectExtent l="0" t="0" r="0" b="5715"/>
                <wp:wrapNone/>
                <wp:docPr id="19"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9334500" cy="3385185"/>
                          <a:chOff x="-7144" y="-7144"/>
                          <a:chExt cx="6005513" cy="1924050"/>
                        </a:xfrm>
                      </wpg:grpSpPr>
                      <wps:wsp>
                        <wps:cNvPr id="20" name="Freeform: Shape 20">
                          <a:extLst>
                            <a:ext uri="{C183D7F6-B498-43B3-948B-1728B52AA6E4}">
                              <adec:decorative xmlns:adec="http://schemas.microsoft.com/office/drawing/2017/decorative" val="1"/>
                            </a:ext>
                          </a:extLst>
                        </wps:cNvPr>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flip="none" rotWithShape="1">
                            <a:gsLst>
                              <a:gs pos="0">
                                <a:srgbClr val="006A78">
                                  <a:shade val="30000"/>
                                  <a:satMod val="115000"/>
                                </a:srgbClr>
                              </a:gs>
                              <a:gs pos="50000">
                                <a:srgbClr val="006A78">
                                  <a:shade val="67500"/>
                                  <a:satMod val="115000"/>
                                </a:srgbClr>
                              </a:gs>
                              <a:gs pos="100000">
                                <a:srgbClr val="006A78">
                                  <a:shade val="100000"/>
                                  <a:satMod val="115000"/>
                                </a:srgbClr>
                              </a:gs>
                            </a:gsLst>
                            <a:lin ang="81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a:extLst>
                            <a:ext uri="{C183D7F6-B498-43B3-948B-1728B52AA6E4}">
                              <adec:decorative xmlns:adec="http://schemas.microsoft.com/office/drawing/2017/decorative" val="1"/>
                            </a:ext>
                          </a:extLst>
                        </wps:cNvPr>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flip="none" rotWithShape="1">
                            <a:gsLst>
                              <a:gs pos="0">
                                <a:srgbClr val="17406D">
                                  <a:shade val="30000"/>
                                  <a:satMod val="115000"/>
                                </a:srgbClr>
                              </a:gs>
                              <a:gs pos="50000">
                                <a:srgbClr val="17406D">
                                  <a:shade val="67500"/>
                                  <a:satMod val="115000"/>
                                </a:srgbClr>
                              </a:gs>
                              <a:gs pos="100000">
                                <a:srgbClr val="17406D">
                                  <a:shade val="100000"/>
                                  <a:satMod val="115000"/>
                                </a:srgbClr>
                              </a:gs>
                            </a:gsLst>
                            <a:lin ang="162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a:extLst>
                            <a:ext uri="{C183D7F6-B498-43B3-948B-1728B52AA6E4}">
                              <adec:decorative xmlns:adec="http://schemas.microsoft.com/office/drawing/2017/decorative" val="1"/>
                            </a:ext>
                          </a:extLst>
                        </wps:cNvPr>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C80594" id="Graphic 17" o:spid="_x0000_s1026" alt="&quot;&quot;" style="position:absolute;margin-left:-137pt;margin-top:591.4pt;width:735pt;height:266.55pt;rotation:180;z-index:-251657216;mso-width-relative:margin;mso-height-relative:margin" coordorigin="-71,-71" coordsize="60055,19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">
                <v:shape id="Freeform: Shape 20" o:spid="_x0000_s1027" alt="&quot;&quot;" style="position:absolute;left:21216;top:-71;width:38767;height:17620;visibility:visible;mso-wrap-style:square;v-text-anchor:middle" coordsize="3876675,1762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" path="m3869531,1359694v,,-489585,474345,-1509712,384810c1339691,1654969,936784,1180624,7144,1287304l7144,7144r3862387,l3869531,1359694xe" fillcolor="#003e48" stroked="f">
                  <v:fill color2="#007181" rotate="t" angle="315" colors="0 #003e48;.5 #005e6b;1 #007181" focus="100%" type="gradient"/>
                  <v:stroke joinstyle="miter"/>
                  <v:path arrowok="t" o:connecttype="custom" o:connectlocs="3869531,1359694;2359819,1744504;7144,1287304;7144,7144;3869531,7144;3869531,1359694" o:connectangles="0,0,0,0,0,0"/>
                </v:shape>
                <v:shape id="Freeform: Shape 22" o:spid="_x0000_s1028" alt="&quot;&quot;" style="position:absolute;left:-71;top:-71;width:60007;height:19240;visibility:visible;mso-wrap-style:square;v-text-anchor:middle" coordsize="6000750,1924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" path="m7144,1699736v,,1403032,618173,2927032,-215265c4459129,651986,5998369,893921,5998369,893921r,-886777l7144,7144r,1692592xe" fillcolor="#052140" stroked="f">
                  <v:fill color2="#114073" rotate="t" angle="180" colors="0 #052140;.5 #0c3460;1 #114073" focus="100%" type="gradient"/>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" path="m7144,7144r,606742c647224,1034891,2136934,964406,3546634,574834,4882039,205264,5998369,893921,5998369,893921r,-886777l7144,7144xe" fillcolor="#00274a" stroked="f">
                  <v:stroke joinstyle="miter"/>
                  <v:path arrowok="t" o:connecttype="custom" o:connectlocs="7144,7144;7144,613886;3546634,574834;5998369,893921;5998369,7144;7144,7144" o:connectangles="0,0,0,0,0,0"/>
                </v:shape>
                <v:shape id="Freeform: Shape 24" o:spid="_x0000_s1030" alt="&quot;&quot;" style="position:absolute;left:31761;top:9244;width:28194;height:8286;visibility:visible;mso-wrap-style:square;v-text-anchor:middle" coordsize="2819400,828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" path="m7144,481489c380524,602456,751999,764381,1305401,812959,2325529,902494,2815114,428149,2815114,428149r,-421005c2332196,236696,1376839,568166,7144,481489xe" fillcolor="#006a78" stroked="f">
                  <v:stroke joinstyle="miter"/>
                  <v:path arrowok="t" o:connecttype="custom" o:connectlocs="7144,481489;1305401,812959;2815114,428149;2815114,7144;7144,481489" o:connectangles="0,0,0,0,0"/>
                </v:shape>
                <w10:anchorlock/>
              </v:group>
            </w:pict>
          </mc:Fallback>
        </mc:AlternateContent>
      </w:r>
      <w:r w:rsidRPr="005B47AE">
        <w:rPr>
          <w:color w:val="00274A"/>
        </w:rPr>
        <w:t xml:space="preserve">HDRN Canada </w:t>
      </w:r>
    </w:p>
    <w:p w:rsidR="008057C0" w:rsidRPr="00C66A4D" w:rsidRDefault="008057C0" w:rsidP="008057C0">
      <w:pPr>
        <w:pStyle w:val="Subtitle"/>
        <w:spacing w:before="240"/>
        <w:rPr>
          <w:sz w:val="56"/>
          <w:szCs w:val="144"/>
        </w:rPr>
      </w:pPr>
      <w:r w:rsidRPr="00C66A4D">
        <w:rPr>
          <w:sz w:val="56"/>
          <w:szCs w:val="144"/>
        </w:rPr>
        <w:t xml:space="preserve">Scientific Director and CEO’s Report </w:t>
      </w:r>
    </w:p>
    <w:p w:rsidR="00EF2775" w:rsidRPr="00EF2775" w:rsidRDefault="00EF2775" w:rsidP="00EF2775">
      <w:pPr>
        <w:pStyle w:val="Title"/>
        <w:spacing w:line="480" w:lineRule="auto"/>
        <w:rPr>
          <w:color w:val="00274A"/>
        </w:rPr>
      </w:pPr>
      <w:r>
        <w:rPr>
          <w:color w:val="00274A"/>
        </w:rPr>
        <w:t>May 17</w:t>
      </w:r>
      <w:r w:rsidR="008057C0" w:rsidRPr="00C66A4D">
        <w:rPr>
          <w:color w:val="00274A"/>
        </w:rPr>
        <w:t xml:space="preserve"> 202</w:t>
      </w:r>
      <w:r>
        <w:rPr>
          <w:color w:val="00274A"/>
        </w:rPr>
        <w:t>2</w:t>
      </w:r>
    </w:p>
    <w:p w:rsidR="008057C0" w:rsidRDefault="00EF2775" w:rsidP="00EF2775">
      <w:pPr>
        <w:tabs>
          <w:tab w:val="center" w:pos="5040"/>
        </w:tabs>
        <w:rPr>
          <w:rFonts w:ascii="Lato" w:eastAsiaTheme="majorEastAsia" w:hAnsi="Lato" w:cstheme="majorBidi"/>
          <w:color w:val="002060"/>
          <w:spacing w:val="-10"/>
          <w:kern w:val="28"/>
          <w:sz w:val="44"/>
          <w:szCs w:val="56"/>
        </w:rPr>
      </w:pPr>
      <w:r w:rsidRPr="00EF4CBC">
        <w:rPr>
          <w:rFonts w:ascii="Lato" w:eastAsia="Franklin Gothic Book" w:hAnsi="Lato" w:cs="Times New Roman"/>
          <w:b/>
          <w:bCs/>
          <w:noProof/>
          <w:color w:val="00274A"/>
          <w:kern w:val="20"/>
          <w:lang w:eastAsia="ja-JP"/>
        </w:rPr>
        <w:drawing>
          <wp:anchor distT="0" distB="0" distL="114300" distR="114300" simplePos="0" relativeHeight="251660288" behindDoc="0" locked="0" layoutInCell="1" allowOverlap="1" wp14:anchorId="49A4DC28" wp14:editId="549EC2DF">
            <wp:simplePos x="0" y="0"/>
            <wp:positionH relativeFrom="column">
              <wp:posOffset>3369161</wp:posOffset>
            </wp:positionH>
            <wp:positionV relativeFrom="paragraph">
              <wp:posOffset>6485255</wp:posOffset>
            </wp:positionV>
            <wp:extent cx="3516207" cy="896486"/>
            <wp:effectExtent l="0" t="0" r="0" b="0"/>
            <wp:wrapNone/>
            <wp:docPr id="13405550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55504"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3376" r="3638"/>
                    <a:stretch/>
                  </pic:blipFill>
                  <pic:spPr bwMode="auto">
                    <a:xfrm>
                      <a:off x="0" y="0"/>
                      <a:ext cx="3516207" cy="8964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57C0" w:rsidRPr="00EF2775">
        <w:br w:type="page"/>
      </w:r>
    </w:p>
    <w:sdt>
      <w:sdtPr>
        <w:rPr>
          <w:rFonts w:ascii="Arial" w:eastAsiaTheme="minorHAnsi" w:hAnsi="Arial" w:cstheme="minorBidi"/>
          <w:b w:val="0"/>
          <w:bCs/>
          <w:color w:val="auto"/>
          <w:spacing w:val="0"/>
          <w:kern w:val="0"/>
          <w:sz w:val="24"/>
          <w:szCs w:val="22"/>
        </w:rPr>
        <w:id w:val="-499580255"/>
        <w:docPartObj>
          <w:docPartGallery w:val="Table of Contents"/>
          <w:docPartUnique/>
        </w:docPartObj>
      </w:sdtPr>
      <w:sdtEndPr>
        <w:rPr>
          <w:bCs w:val="0"/>
          <w:noProof/>
          <w:szCs w:val="24"/>
        </w:rPr>
      </w:sdtEndPr>
      <w:sdtContent>
        <w:p w:rsidR="00DF021C" w:rsidRPr="00707EB3" w:rsidRDefault="00DF021C" w:rsidP="00707EB3">
          <w:pPr>
            <w:pStyle w:val="Title"/>
            <w:rPr>
              <w:rStyle w:val="Heading2Char"/>
              <w:b/>
              <w:color w:val="002060"/>
              <w:kern w:val="28"/>
              <w:sz w:val="44"/>
              <w:szCs w:val="56"/>
            </w:rPr>
          </w:pPr>
          <w:r w:rsidRPr="00C16153">
            <w:rPr>
              <w:rStyle w:val="Heading2Char"/>
              <w:b/>
              <w:sz w:val="32"/>
              <w:szCs w:val="32"/>
            </w:rPr>
            <w:t>Table of Contents</w:t>
          </w:r>
        </w:p>
        <w:p w:rsidR="00EF2775" w:rsidRPr="00EF2775" w:rsidRDefault="00DF021C">
          <w:pPr>
            <w:pStyle w:val="TOC1"/>
            <w:rPr>
              <w:rFonts w:ascii="Arial" w:eastAsiaTheme="minorEastAsia" w:hAnsi="Arial" w:cs="Arial"/>
              <w:b w:val="0"/>
              <w:bCs w:val="0"/>
              <w:kern w:val="2"/>
              <w:lang w:val="en-CA"/>
              <w14:ligatures w14:val="standardContextual"/>
            </w:rPr>
          </w:pPr>
          <w:r w:rsidRPr="00EF2775">
            <w:rPr>
              <w:rFonts w:ascii="Arial" w:hAnsi="Arial" w:cs="Arial"/>
              <w:b w:val="0"/>
              <w:bCs w:val="0"/>
              <w:noProof w:val="0"/>
            </w:rPr>
            <w:fldChar w:fldCharType="begin"/>
          </w:r>
          <w:r w:rsidRPr="00EF2775">
            <w:rPr>
              <w:rFonts w:ascii="Arial" w:hAnsi="Arial" w:cs="Arial"/>
              <w:b w:val="0"/>
              <w:bCs w:val="0"/>
            </w:rPr>
            <w:instrText xml:space="preserve"> TOC \o "1-3" \h \z \u </w:instrText>
          </w:r>
          <w:r w:rsidRPr="00EF2775">
            <w:rPr>
              <w:rFonts w:ascii="Arial" w:hAnsi="Arial" w:cs="Arial"/>
              <w:b w:val="0"/>
              <w:bCs w:val="0"/>
              <w:noProof w:val="0"/>
            </w:rPr>
            <w:fldChar w:fldCharType="separate"/>
          </w:r>
          <w:hyperlink w:anchor="_Toc140483534" w:history="1">
            <w:r w:rsidR="00EF2775" w:rsidRPr="00EF2775">
              <w:rPr>
                <w:rStyle w:val="Hyperlink"/>
                <w:rFonts w:ascii="Arial" w:hAnsi="Arial" w:cs="Arial"/>
              </w:rPr>
              <w:t>Section 1: High Level Progress Update</w:t>
            </w:r>
            <w:r w:rsidR="00EF2775" w:rsidRPr="00EF2775">
              <w:rPr>
                <w:rFonts w:ascii="Arial" w:hAnsi="Arial" w:cs="Arial"/>
                <w:webHidden/>
              </w:rPr>
              <w:tab/>
            </w:r>
            <w:r w:rsidR="00EF2775" w:rsidRPr="00EF2775">
              <w:rPr>
                <w:rFonts w:ascii="Arial" w:hAnsi="Arial" w:cs="Arial"/>
                <w:webHidden/>
              </w:rPr>
              <w:fldChar w:fldCharType="begin"/>
            </w:r>
            <w:r w:rsidR="00EF2775" w:rsidRPr="00EF2775">
              <w:rPr>
                <w:rFonts w:ascii="Arial" w:hAnsi="Arial" w:cs="Arial"/>
                <w:webHidden/>
              </w:rPr>
              <w:instrText xml:space="preserve"> PAGEREF _Toc140483534 \h </w:instrText>
            </w:r>
            <w:r w:rsidR="00EF2775" w:rsidRPr="00EF2775">
              <w:rPr>
                <w:rFonts w:ascii="Arial" w:hAnsi="Arial" w:cs="Arial"/>
                <w:webHidden/>
              </w:rPr>
            </w:r>
            <w:r w:rsidR="00EF2775" w:rsidRPr="00EF2775">
              <w:rPr>
                <w:rFonts w:ascii="Arial" w:hAnsi="Arial" w:cs="Arial"/>
                <w:webHidden/>
              </w:rPr>
              <w:fldChar w:fldCharType="separate"/>
            </w:r>
            <w:r w:rsidR="00EF2775" w:rsidRPr="00EF2775">
              <w:rPr>
                <w:rFonts w:ascii="Arial" w:hAnsi="Arial" w:cs="Arial"/>
                <w:webHidden/>
              </w:rPr>
              <w:t>4</w:t>
            </w:r>
            <w:r w:rsidR="00EF2775" w:rsidRPr="00EF2775">
              <w:rPr>
                <w:rFonts w:ascii="Arial" w:hAnsi="Arial" w:cs="Arial"/>
                <w:webHidden/>
              </w:rPr>
              <w:fldChar w:fldCharType="end"/>
            </w:r>
          </w:hyperlink>
        </w:p>
        <w:p w:rsidR="00EF2775" w:rsidRPr="00EF2775" w:rsidRDefault="00EF2775">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3535" w:history="1">
            <w:r w:rsidRPr="00EF2775">
              <w:rPr>
                <w:rStyle w:val="Hyperlink"/>
                <w:rFonts w:ascii="Arial" w:hAnsi="Arial" w:cs="Arial"/>
                <w:noProof/>
              </w:rPr>
              <w:t>Key progress since the last board meeting:</w:t>
            </w:r>
            <w:r w:rsidRPr="00EF2775">
              <w:rPr>
                <w:rFonts w:ascii="Arial" w:hAnsi="Arial" w:cs="Arial"/>
                <w:noProof/>
                <w:webHidden/>
              </w:rPr>
              <w:tab/>
            </w:r>
            <w:r w:rsidRPr="00EF2775">
              <w:rPr>
                <w:rFonts w:ascii="Arial" w:hAnsi="Arial" w:cs="Arial"/>
                <w:noProof/>
                <w:webHidden/>
              </w:rPr>
              <w:fldChar w:fldCharType="begin"/>
            </w:r>
            <w:r w:rsidRPr="00EF2775">
              <w:rPr>
                <w:rFonts w:ascii="Arial" w:hAnsi="Arial" w:cs="Arial"/>
                <w:noProof/>
                <w:webHidden/>
              </w:rPr>
              <w:instrText xml:space="preserve"> PAGEREF _Toc140483535 \h </w:instrText>
            </w:r>
            <w:r w:rsidRPr="00EF2775">
              <w:rPr>
                <w:rFonts w:ascii="Arial" w:hAnsi="Arial" w:cs="Arial"/>
                <w:noProof/>
                <w:webHidden/>
              </w:rPr>
            </w:r>
            <w:r w:rsidRPr="00EF2775">
              <w:rPr>
                <w:rFonts w:ascii="Arial" w:hAnsi="Arial" w:cs="Arial"/>
                <w:noProof/>
                <w:webHidden/>
              </w:rPr>
              <w:fldChar w:fldCharType="separate"/>
            </w:r>
            <w:r w:rsidRPr="00EF2775">
              <w:rPr>
                <w:rFonts w:ascii="Arial" w:hAnsi="Arial" w:cs="Arial"/>
                <w:noProof/>
                <w:webHidden/>
              </w:rPr>
              <w:t>4</w:t>
            </w:r>
            <w:r w:rsidRPr="00EF2775">
              <w:rPr>
                <w:rFonts w:ascii="Arial" w:hAnsi="Arial" w:cs="Arial"/>
                <w:noProof/>
                <w:webHidden/>
              </w:rPr>
              <w:fldChar w:fldCharType="end"/>
            </w:r>
          </w:hyperlink>
        </w:p>
        <w:p w:rsidR="00EF2775" w:rsidRPr="00EF2775" w:rsidRDefault="00EF2775">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3536" w:history="1">
            <w:r w:rsidRPr="00EF2775">
              <w:rPr>
                <w:rStyle w:val="Hyperlink"/>
                <w:rFonts w:ascii="Arial" w:hAnsi="Arial" w:cs="Arial"/>
                <w:noProof/>
              </w:rPr>
              <w:t>Major milestones for coming quarter</w:t>
            </w:r>
            <w:r w:rsidRPr="00EF2775">
              <w:rPr>
                <w:rFonts w:ascii="Arial" w:hAnsi="Arial" w:cs="Arial"/>
                <w:noProof/>
                <w:webHidden/>
              </w:rPr>
              <w:tab/>
            </w:r>
            <w:r w:rsidRPr="00EF2775">
              <w:rPr>
                <w:rFonts w:ascii="Arial" w:hAnsi="Arial" w:cs="Arial"/>
                <w:noProof/>
                <w:webHidden/>
              </w:rPr>
              <w:fldChar w:fldCharType="begin"/>
            </w:r>
            <w:r w:rsidRPr="00EF2775">
              <w:rPr>
                <w:rFonts w:ascii="Arial" w:hAnsi="Arial" w:cs="Arial"/>
                <w:noProof/>
                <w:webHidden/>
              </w:rPr>
              <w:instrText xml:space="preserve"> PAGEREF _Toc140483536 \h </w:instrText>
            </w:r>
            <w:r w:rsidRPr="00EF2775">
              <w:rPr>
                <w:rFonts w:ascii="Arial" w:hAnsi="Arial" w:cs="Arial"/>
                <w:noProof/>
                <w:webHidden/>
              </w:rPr>
            </w:r>
            <w:r w:rsidRPr="00EF2775">
              <w:rPr>
                <w:rFonts w:ascii="Arial" w:hAnsi="Arial" w:cs="Arial"/>
                <w:noProof/>
                <w:webHidden/>
              </w:rPr>
              <w:fldChar w:fldCharType="separate"/>
            </w:r>
            <w:r w:rsidRPr="00EF2775">
              <w:rPr>
                <w:rFonts w:ascii="Arial" w:hAnsi="Arial" w:cs="Arial"/>
                <w:noProof/>
                <w:webHidden/>
              </w:rPr>
              <w:t>4</w:t>
            </w:r>
            <w:r w:rsidRPr="00EF2775">
              <w:rPr>
                <w:rFonts w:ascii="Arial" w:hAnsi="Arial" w:cs="Arial"/>
                <w:noProof/>
                <w:webHidden/>
              </w:rPr>
              <w:fldChar w:fldCharType="end"/>
            </w:r>
          </w:hyperlink>
        </w:p>
        <w:p w:rsidR="00EF2775" w:rsidRPr="00EF2775" w:rsidRDefault="00EF2775">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3537" w:history="1">
            <w:r w:rsidRPr="00EF2775">
              <w:rPr>
                <w:rStyle w:val="Hyperlink"/>
                <w:rFonts w:ascii="Arial" w:hAnsi="Arial" w:cs="Arial"/>
                <w:noProof/>
              </w:rPr>
              <w:t>Anticipated and ongoing challenges</w:t>
            </w:r>
            <w:r w:rsidRPr="00EF2775">
              <w:rPr>
                <w:rFonts w:ascii="Arial" w:hAnsi="Arial" w:cs="Arial"/>
                <w:noProof/>
                <w:webHidden/>
              </w:rPr>
              <w:tab/>
            </w:r>
            <w:r w:rsidRPr="00EF2775">
              <w:rPr>
                <w:rFonts w:ascii="Arial" w:hAnsi="Arial" w:cs="Arial"/>
                <w:noProof/>
                <w:webHidden/>
              </w:rPr>
              <w:fldChar w:fldCharType="begin"/>
            </w:r>
            <w:r w:rsidRPr="00EF2775">
              <w:rPr>
                <w:rFonts w:ascii="Arial" w:hAnsi="Arial" w:cs="Arial"/>
                <w:noProof/>
                <w:webHidden/>
              </w:rPr>
              <w:instrText xml:space="preserve"> PAGEREF _Toc140483537 \h </w:instrText>
            </w:r>
            <w:r w:rsidRPr="00EF2775">
              <w:rPr>
                <w:rFonts w:ascii="Arial" w:hAnsi="Arial" w:cs="Arial"/>
                <w:noProof/>
                <w:webHidden/>
              </w:rPr>
            </w:r>
            <w:r w:rsidRPr="00EF2775">
              <w:rPr>
                <w:rFonts w:ascii="Arial" w:hAnsi="Arial" w:cs="Arial"/>
                <w:noProof/>
                <w:webHidden/>
              </w:rPr>
              <w:fldChar w:fldCharType="separate"/>
            </w:r>
            <w:r w:rsidRPr="00EF2775">
              <w:rPr>
                <w:rFonts w:ascii="Arial" w:hAnsi="Arial" w:cs="Arial"/>
                <w:noProof/>
                <w:webHidden/>
              </w:rPr>
              <w:t>5</w:t>
            </w:r>
            <w:r w:rsidRPr="00EF2775">
              <w:rPr>
                <w:rFonts w:ascii="Arial" w:hAnsi="Arial" w:cs="Arial"/>
                <w:noProof/>
                <w:webHidden/>
              </w:rPr>
              <w:fldChar w:fldCharType="end"/>
            </w:r>
          </w:hyperlink>
        </w:p>
        <w:p w:rsidR="00EF2775" w:rsidRPr="00EF2775" w:rsidRDefault="00EF2775">
          <w:pPr>
            <w:pStyle w:val="TOC1"/>
            <w:rPr>
              <w:rFonts w:ascii="Arial" w:eastAsiaTheme="minorEastAsia" w:hAnsi="Arial" w:cs="Arial"/>
              <w:b w:val="0"/>
              <w:bCs w:val="0"/>
              <w:kern w:val="2"/>
              <w:lang w:val="en-CA"/>
              <w14:ligatures w14:val="standardContextual"/>
            </w:rPr>
          </w:pPr>
          <w:hyperlink w:anchor="_Toc140483538" w:history="1">
            <w:r w:rsidRPr="00EF2775">
              <w:rPr>
                <w:rStyle w:val="Hyperlink"/>
                <w:rFonts w:ascii="Arial" w:hAnsi="Arial" w:cs="Arial"/>
              </w:rPr>
              <w:t>High Level Key Performance Indicators</w:t>
            </w:r>
            <w:r w:rsidRPr="00EF2775">
              <w:rPr>
                <w:rFonts w:ascii="Arial" w:hAnsi="Arial" w:cs="Arial"/>
                <w:webHidden/>
              </w:rPr>
              <w:tab/>
            </w:r>
            <w:r w:rsidRPr="00EF2775">
              <w:rPr>
                <w:rFonts w:ascii="Arial" w:hAnsi="Arial" w:cs="Arial"/>
                <w:webHidden/>
              </w:rPr>
              <w:fldChar w:fldCharType="begin"/>
            </w:r>
            <w:r w:rsidRPr="00EF2775">
              <w:rPr>
                <w:rFonts w:ascii="Arial" w:hAnsi="Arial" w:cs="Arial"/>
                <w:webHidden/>
              </w:rPr>
              <w:instrText xml:space="preserve"> PAGEREF _Toc140483538 \h </w:instrText>
            </w:r>
            <w:r w:rsidRPr="00EF2775">
              <w:rPr>
                <w:rFonts w:ascii="Arial" w:hAnsi="Arial" w:cs="Arial"/>
                <w:webHidden/>
              </w:rPr>
            </w:r>
            <w:r w:rsidRPr="00EF2775">
              <w:rPr>
                <w:rFonts w:ascii="Arial" w:hAnsi="Arial" w:cs="Arial"/>
                <w:webHidden/>
              </w:rPr>
              <w:fldChar w:fldCharType="separate"/>
            </w:r>
            <w:r w:rsidRPr="00EF2775">
              <w:rPr>
                <w:rFonts w:ascii="Arial" w:hAnsi="Arial" w:cs="Arial"/>
                <w:webHidden/>
              </w:rPr>
              <w:t>5</w:t>
            </w:r>
            <w:r w:rsidRPr="00EF2775">
              <w:rPr>
                <w:rFonts w:ascii="Arial" w:hAnsi="Arial" w:cs="Arial"/>
                <w:webHidden/>
              </w:rPr>
              <w:fldChar w:fldCharType="end"/>
            </w:r>
          </w:hyperlink>
        </w:p>
        <w:p w:rsidR="00EF2775" w:rsidRPr="00EF2775" w:rsidRDefault="00EF2775">
          <w:pPr>
            <w:pStyle w:val="TOC1"/>
            <w:rPr>
              <w:rFonts w:ascii="Arial" w:eastAsiaTheme="minorEastAsia" w:hAnsi="Arial" w:cs="Arial"/>
              <w:b w:val="0"/>
              <w:bCs w:val="0"/>
              <w:kern w:val="2"/>
              <w:lang w:val="en-CA"/>
              <w14:ligatures w14:val="standardContextual"/>
            </w:rPr>
          </w:pPr>
          <w:hyperlink w:anchor="_Toc140483539" w:history="1">
            <w:r w:rsidRPr="00EF2775">
              <w:rPr>
                <w:rStyle w:val="Hyperlink"/>
                <w:rFonts w:ascii="Arial" w:hAnsi="Arial" w:cs="Arial"/>
              </w:rPr>
              <w:t>Section 2: Additional Information About HDRN Canada Progress and Core Work</w:t>
            </w:r>
            <w:r w:rsidRPr="00EF2775">
              <w:rPr>
                <w:rFonts w:ascii="Arial" w:hAnsi="Arial" w:cs="Arial"/>
                <w:webHidden/>
              </w:rPr>
              <w:tab/>
            </w:r>
            <w:r w:rsidRPr="00EF2775">
              <w:rPr>
                <w:rFonts w:ascii="Arial" w:hAnsi="Arial" w:cs="Arial"/>
                <w:webHidden/>
              </w:rPr>
              <w:fldChar w:fldCharType="begin"/>
            </w:r>
            <w:r w:rsidRPr="00EF2775">
              <w:rPr>
                <w:rFonts w:ascii="Arial" w:hAnsi="Arial" w:cs="Arial"/>
                <w:webHidden/>
              </w:rPr>
              <w:instrText xml:space="preserve"> PAGEREF _Toc140483539 \h </w:instrText>
            </w:r>
            <w:r w:rsidRPr="00EF2775">
              <w:rPr>
                <w:rFonts w:ascii="Arial" w:hAnsi="Arial" w:cs="Arial"/>
                <w:webHidden/>
              </w:rPr>
            </w:r>
            <w:r w:rsidRPr="00EF2775">
              <w:rPr>
                <w:rFonts w:ascii="Arial" w:hAnsi="Arial" w:cs="Arial"/>
                <w:webHidden/>
              </w:rPr>
              <w:fldChar w:fldCharType="separate"/>
            </w:r>
            <w:r w:rsidRPr="00EF2775">
              <w:rPr>
                <w:rFonts w:ascii="Arial" w:hAnsi="Arial" w:cs="Arial"/>
                <w:webHidden/>
              </w:rPr>
              <w:t>6</w:t>
            </w:r>
            <w:r w:rsidRPr="00EF2775">
              <w:rPr>
                <w:rFonts w:ascii="Arial" w:hAnsi="Arial" w:cs="Arial"/>
                <w:webHidden/>
              </w:rPr>
              <w:fldChar w:fldCharType="end"/>
            </w:r>
          </w:hyperlink>
        </w:p>
        <w:p w:rsidR="00EF2775" w:rsidRPr="00EF2775" w:rsidRDefault="00EF2775">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483540" w:history="1">
            <w:r w:rsidRPr="00EF2775">
              <w:rPr>
                <w:rStyle w:val="Hyperlink"/>
                <w:rFonts w:ascii="Arial" w:hAnsi="Arial" w:cs="Arial"/>
                <w:noProof/>
              </w:rPr>
              <w:t>Goal 1: Develop and Improve Services and Supports for Data Access</w:t>
            </w:r>
            <w:r w:rsidRPr="00EF2775">
              <w:rPr>
                <w:rFonts w:ascii="Arial" w:hAnsi="Arial" w:cs="Arial"/>
                <w:noProof/>
                <w:webHidden/>
              </w:rPr>
              <w:tab/>
            </w:r>
            <w:r w:rsidRPr="00EF2775">
              <w:rPr>
                <w:rFonts w:ascii="Arial" w:hAnsi="Arial" w:cs="Arial"/>
                <w:noProof/>
                <w:webHidden/>
              </w:rPr>
              <w:fldChar w:fldCharType="begin"/>
            </w:r>
            <w:r w:rsidRPr="00EF2775">
              <w:rPr>
                <w:rFonts w:ascii="Arial" w:hAnsi="Arial" w:cs="Arial"/>
                <w:noProof/>
                <w:webHidden/>
              </w:rPr>
              <w:instrText xml:space="preserve"> PAGEREF _Toc140483540 \h </w:instrText>
            </w:r>
            <w:r w:rsidRPr="00EF2775">
              <w:rPr>
                <w:rFonts w:ascii="Arial" w:hAnsi="Arial" w:cs="Arial"/>
                <w:noProof/>
                <w:webHidden/>
              </w:rPr>
            </w:r>
            <w:r w:rsidRPr="00EF2775">
              <w:rPr>
                <w:rFonts w:ascii="Arial" w:hAnsi="Arial" w:cs="Arial"/>
                <w:noProof/>
                <w:webHidden/>
              </w:rPr>
              <w:fldChar w:fldCharType="separate"/>
            </w:r>
            <w:r w:rsidRPr="00EF2775">
              <w:rPr>
                <w:rFonts w:ascii="Arial" w:hAnsi="Arial" w:cs="Arial"/>
                <w:noProof/>
                <w:webHidden/>
              </w:rPr>
              <w:t>6</w:t>
            </w:r>
            <w:r w:rsidRPr="00EF2775">
              <w:rPr>
                <w:rFonts w:ascii="Arial" w:hAnsi="Arial" w:cs="Arial"/>
                <w:noProof/>
                <w:webHidden/>
              </w:rPr>
              <w:fldChar w:fldCharType="end"/>
            </w:r>
          </w:hyperlink>
        </w:p>
        <w:p w:rsidR="00EF2775" w:rsidRPr="00EF2775" w:rsidRDefault="00EF2775">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3541" w:history="1">
            <w:r w:rsidRPr="00EF2775">
              <w:rPr>
                <w:rStyle w:val="Hyperlink"/>
                <w:rFonts w:ascii="Arial" w:hAnsi="Arial" w:cs="Arial"/>
                <w:noProof/>
              </w:rPr>
              <w:t>Key developments since last meeting</w:t>
            </w:r>
            <w:r w:rsidRPr="00EF2775">
              <w:rPr>
                <w:rFonts w:ascii="Arial" w:hAnsi="Arial" w:cs="Arial"/>
                <w:noProof/>
                <w:webHidden/>
              </w:rPr>
              <w:tab/>
            </w:r>
            <w:r w:rsidRPr="00EF2775">
              <w:rPr>
                <w:rFonts w:ascii="Arial" w:hAnsi="Arial" w:cs="Arial"/>
                <w:noProof/>
                <w:webHidden/>
              </w:rPr>
              <w:fldChar w:fldCharType="begin"/>
            </w:r>
            <w:r w:rsidRPr="00EF2775">
              <w:rPr>
                <w:rFonts w:ascii="Arial" w:hAnsi="Arial" w:cs="Arial"/>
                <w:noProof/>
                <w:webHidden/>
              </w:rPr>
              <w:instrText xml:space="preserve"> PAGEREF _Toc140483541 \h </w:instrText>
            </w:r>
            <w:r w:rsidRPr="00EF2775">
              <w:rPr>
                <w:rFonts w:ascii="Arial" w:hAnsi="Arial" w:cs="Arial"/>
                <w:noProof/>
                <w:webHidden/>
              </w:rPr>
            </w:r>
            <w:r w:rsidRPr="00EF2775">
              <w:rPr>
                <w:rFonts w:ascii="Arial" w:hAnsi="Arial" w:cs="Arial"/>
                <w:noProof/>
                <w:webHidden/>
              </w:rPr>
              <w:fldChar w:fldCharType="separate"/>
            </w:r>
            <w:r w:rsidRPr="00EF2775">
              <w:rPr>
                <w:rFonts w:ascii="Arial" w:hAnsi="Arial" w:cs="Arial"/>
                <w:noProof/>
                <w:webHidden/>
              </w:rPr>
              <w:t>6</w:t>
            </w:r>
            <w:r w:rsidRPr="00EF2775">
              <w:rPr>
                <w:rFonts w:ascii="Arial" w:hAnsi="Arial" w:cs="Arial"/>
                <w:noProof/>
                <w:webHidden/>
              </w:rPr>
              <w:fldChar w:fldCharType="end"/>
            </w:r>
          </w:hyperlink>
        </w:p>
        <w:p w:rsidR="00EF2775" w:rsidRPr="00EF2775" w:rsidRDefault="00EF2775">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3542" w:history="1">
            <w:r w:rsidRPr="00EF2775">
              <w:rPr>
                <w:rStyle w:val="Hyperlink"/>
                <w:rFonts w:ascii="Arial" w:hAnsi="Arial" w:cs="Arial"/>
                <w:noProof/>
              </w:rPr>
              <w:t>Successes</w:t>
            </w:r>
            <w:r w:rsidRPr="00EF2775">
              <w:rPr>
                <w:rFonts w:ascii="Arial" w:hAnsi="Arial" w:cs="Arial"/>
                <w:noProof/>
                <w:webHidden/>
              </w:rPr>
              <w:tab/>
            </w:r>
            <w:r w:rsidRPr="00EF2775">
              <w:rPr>
                <w:rFonts w:ascii="Arial" w:hAnsi="Arial" w:cs="Arial"/>
                <w:noProof/>
                <w:webHidden/>
              </w:rPr>
              <w:fldChar w:fldCharType="begin"/>
            </w:r>
            <w:r w:rsidRPr="00EF2775">
              <w:rPr>
                <w:rFonts w:ascii="Arial" w:hAnsi="Arial" w:cs="Arial"/>
                <w:noProof/>
                <w:webHidden/>
              </w:rPr>
              <w:instrText xml:space="preserve"> PAGEREF _Toc140483542 \h </w:instrText>
            </w:r>
            <w:r w:rsidRPr="00EF2775">
              <w:rPr>
                <w:rFonts w:ascii="Arial" w:hAnsi="Arial" w:cs="Arial"/>
                <w:noProof/>
                <w:webHidden/>
              </w:rPr>
            </w:r>
            <w:r w:rsidRPr="00EF2775">
              <w:rPr>
                <w:rFonts w:ascii="Arial" w:hAnsi="Arial" w:cs="Arial"/>
                <w:noProof/>
                <w:webHidden/>
              </w:rPr>
              <w:fldChar w:fldCharType="separate"/>
            </w:r>
            <w:r w:rsidRPr="00EF2775">
              <w:rPr>
                <w:rFonts w:ascii="Arial" w:hAnsi="Arial" w:cs="Arial"/>
                <w:noProof/>
                <w:webHidden/>
              </w:rPr>
              <w:t>6</w:t>
            </w:r>
            <w:r w:rsidRPr="00EF2775">
              <w:rPr>
                <w:rFonts w:ascii="Arial" w:hAnsi="Arial" w:cs="Arial"/>
                <w:noProof/>
                <w:webHidden/>
              </w:rPr>
              <w:fldChar w:fldCharType="end"/>
            </w:r>
          </w:hyperlink>
        </w:p>
        <w:p w:rsidR="00EF2775" w:rsidRPr="00EF2775" w:rsidRDefault="00EF2775">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3543" w:history="1">
            <w:r w:rsidRPr="00EF2775">
              <w:rPr>
                <w:rStyle w:val="Hyperlink"/>
                <w:rFonts w:ascii="Arial" w:hAnsi="Arial" w:cs="Arial"/>
                <w:noProof/>
              </w:rPr>
              <w:t>Challenges</w:t>
            </w:r>
            <w:r w:rsidRPr="00EF2775">
              <w:rPr>
                <w:rFonts w:ascii="Arial" w:hAnsi="Arial" w:cs="Arial"/>
                <w:noProof/>
                <w:webHidden/>
              </w:rPr>
              <w:tab/>
            </w:r>
            <w:r w:rsidRPr="00EF2775">
              <w:rPr>
                <w:rFonts w:ascii="Arial" w:hAnsi="Arial" w:cs="Arial"/>
                <w:noProof/>
                <w:webHidden/>
              </w:rPr>
              <w:fldChar w:fldCharType="begin"/>
            </w:r>
            <w:r w:rsidRPr="00EF2775">
              <w:rPr>
                <w:rFonts w:ascii="Arial" w:hAnsi="Arial" w:cs="Arial"/>
                <w:noProof/>
                <w:webHidden/>
              </w:rPr>
              <w:instrText xml:space="preserve"> PAGEREF _Toc140483543 \h </w:instrText>
            </w:r>
            <w:r w:rsidRPr="00EF2775">
              <w:rPr>
                <w:rFonts w:ascii="Arial" w:hAnsi="Arial" w:cs="Arial"/>
                <w:noProof/>
                <w:webHidden/>
              </w:rPr>
            </w:r>
            <w:r w:rsidRPr="00EF2775">
              <w:rPr>
                <w:rFonts w:ascii="Arial" w:hAnsi="Arial" w:cs="Arial"/>
                <w:noProof/>
                <w:webHidden/>
              </w:rPr>
              <w:fldChar w:fldCharType="separate"/>
            </w:r>
            <w:r w:rsidRPr="00EF2775">
              <w:rPr>
                <w:rFonts w:ascii="Arial" w:hAnsi="Arial" w:cs="Arial"/>
                <w:noProof/>
                <w:webHidden/>
              </w:rPr>
              <w:t>7</w:t>
            </w:r>
            <w:r w:rsidRPr="00EF2775">
              <w:rPr>
                <w:rFonts w:ascii="Arial" w:hAnsi="Arial" w:cs="Arial"/>
                <w:noProof/>
                <w:webHidden/>
              </w:rPr>
              <w:fldChar w:fldCharType="end"/>
            </w:r>
          </w:hyperlink>
        </w:p>
        <w:p w:rsidR="00EF2775" w:rsidRPr="00EF2775" w:rsidRDefault="00EF2775">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3544" w:history="1">
            <w:r w:rsidRPr="00EF2775">
              <w:rPr>
                <w:rStyle w:val="Hyperlink"/>
                <w:rFonts w:ascii="Arial" w:hAnsi="Arial" w:cs="Arial"/>
                <w:noProof/>
              </w:rPr>
              <w:t>Risks</w:t>
            </w:r>
            <w:r w:rsidRPr="00EF2775">
              <w:rPr>
                <w:rFonts w:ascii="Arial" w:hAnsi="Arial" w:cs="Arial"/>
                <w:noProof/>
                <w:webHidden/>
              </w:rPr>
              <w:tab/>
            </w:r>
            <w:r w:rsidRPr="00EF2775">
              <w:rPr>
                <w:rFonts w:ascii="Arial" w:hAnsi="Arial" w:cs="Arial"/>
                <w:noProof/>
                <w:webHidden/>
              </w:rPr>
              <w:fldChar w:fldCharType="begin"/>
            </w:r>
            <w:r w:rsidRPr="00EF2775">
              <w:rPr>
                <w:rFonts w:ascii="Arial" w:hAnsi="Arial" w:cs="Arial"/>
                <w:noProof/>
                <w:webHidden/>
              </w:rPr>
              <w:instrText xml:space="preserve"> PAGEREF _Toc140483544 \h </w:instrText>
            </w:r>
            <w:r w:rsidRPr="00EF2775">
              <w:rPr>
                <w:rFonts w:ascii="Arial" w:hAnsi="Arial" w:cs="Arial"/>
                <w:noProof/>
                <w:webHidden/>
              </w:rPr>
            </w:r>
            <w:r w:rsidRPr="00EF2775">
              <w:rPr>
                <w:rFonts w:ascii="Arial" w:hAnsi="Arial" w:cs="Arial"/>
                <w:noProof/>
                <w:webHidden/>
              </w:rPr>
              <w:fldChar w:fldCharType="separate"/>
            </w:r>
            <w:r w:rsidRPr="00EF2775">
              <w:rPr>
                <w:rFonts w:ascii="Arial" w:hAnsi="Arial" w:cs="Arial"/>
                <w:noProof/>
                <w:webHidden/>
              </w:rPr>
              <w:t>7</w:t>
            </w:r>
            <w:r w:rsidRPr="00EF2775">
              <w:rPr>
                <w:rFonts w:ascii="Arial" w:hAnsi="Arial" w:cs="Arial"/>
                <w:noProof/>
                <w:webHidden/>
              </w:rPr>
              <w:fldChar w:fldCharType="end"/>
            </w:r>
          </w:hyperlink>
        </w:p>
        <w:p w:rsidR="00EF2775" w:rsidRPr="00EF2775" w:rsidRDefault="00EF2775">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483545" w:history="1">
            <w:r w:rsidRPr="00EF2775">
              <w:rPr>
                <w:rStyle w:val="Hyperlink"/>
                <w:rFonts w:ascii="Arial" w:hAnsi="Arial" w:cs="Arial"/>
                <w:noProof/>
              </w:rPr>
              <w:t>Goal 2: Diversify and Harmonize Data, and Support Innovative and Privacy-Sensitive Data Use</w:t>
            </w:r>
            <w:r w:rsidRPr="00EF2775">
              <w:rPr>
                <w:rFonts w:ascii="Arial" w:hAnsi="Arial" w:cs="Arial"/>
                <w:noProof/>
                <w:webHidden/>
              </w:rPr>
              <w:tab/>
            </w:r>
            <w:r w:rsidRPr="00EF2775">
              <w:rPr>
                <w:rFonts w:ascii="Arial" w:hAnsi="Arial" w:cs="Arial"/>
                <w:noProof/>
                <w:webHidden/>
              </w:rPr>
              <w:fldChar w:fldCharType="begin"/>
            </w:r>
            <w:r w:rsidRPr="00EF2775">
              <w:rPr>
                <w:rFonts w:ascii="Arial" w:hAnsi="Arial" w:cs="Arial"/>
                <w:noProof/>
                <w:webHidden/>
              </w:rPr>
              <w:instrText xml:space="preserve"> PAGEREF _Toc140483545 \h </w:instrText>
            </w:r>
            <w:r w:rsidRPr="00EF2775">
              <w:rPr>
                <w:rFonts w:ascii="Arial" w:hAnsi="Arial" w:cs="Arial"/>
                <w:noProof/>
                <w:webHidden/>
              </w:rPr>
            </w:r>
            <w:r w:rsidRPr="00EF2775">
              <w:rPr>
                <w:rFonts w:ascii="Arial" w:hAnsi="Arial" w:cs="Arial"/>
                <w:noProof/>
                <w:webHidden/>
              </w:rPr>
              <w:fldChar w:fldCharType="separate"/>
            </w:r>
            <w:r w:rsidRPr="00EF2775">
              <w:rPr>
                <w:rFonts w:ascii="Arial" w:hAnsi="Arial" w:cs="Arial"/>
                <w:noProof/>
                <w:webHidden/>
              </w:rPr>
              <w:t>7</w:t>
            </w:r>
            <w:r w:rsidRPr="00EF2775">
              <w:rPr>
                <w:rFonts w:ascii="Arial" w:hAnsi="Arial" w:cs="Arial"/>
                <w:noProof/>
                <w:webHidden/>
              </w:rPr>
              <w:fldChar w:fldCharType="end"/>
            </w:r>
          </w:hyperlink>
        </w:p>
        <w:p w:rsidR="00EF2775" w:rsidRPr="00EF2775" w:rsidRDefault="00EF2775">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3546" w:history="1">
            <w:r w:rsidRPr="00EF2775">
              <w:rPr>
                <w:rStyle w:val="Hyperlink"/>
                <w:rFonts w:ascii="Arial" w:hAnsi="Arial" w:cs="Arial"/>
                <w:noProof/>
              </w:rPr>
              <w:t>Key developments since last meeting</w:t>
            </w:r>
            <w:r w:rsidRPr="00EF2775">
              <w:rPr>
                <w:rFonts w:ascii="Arial" w:hAnsi="Arial" w:cs="Arial"/>
                <w:noProof/>
                <w:webHidden/>
              </w:rPr>
              <w:tab/>
            </w:r>
            <w:r w:rsidRPr="00EF2775">
              <w:rPr>
                <w:rFonts w:ascii="Arial" w:hAnsi="Arial" w:cs="Arial"/>
                <w:noProof/>
                <w:webHidden/>
              </w:rPr>
              <w:fldChar w:fldCharType="begin"/>
            </w:r>
            <w:r w:rsidRPr="00EF2775">
              <w:rPr>
                <w:rFonts w:ascii="Arial" w:hAnsi="Arial" w:cs="Arial"/>
                <w:noProof/>
                <w:webHidden/>
              </w:rPr>
              <w:instrText xml:space="preserve"> PAGEREF _Toc140483546 \h </w:instrText>
            </w:r>
            <w:r w:rsidRPr="00EF2775">
              <w:rPr>
                <w:rFonts w:ascii="Arial" w:hAnsi="Arial" w:cs="Arial"/>
                <w:noProof/>
                <w:webHidden/>
              </w:rPr>
            </w:r>
            <w:r w:rsidRPr="00EF2775">
              <w:rPr>
                <w:rFonts w:ascii="Arial" w:hAnsi="Arial" w:cs="Arial"/>
                <w:noProof/>
                <w:webHidden/>
              </w:rPr>
              <w:fldChar w:fldCharType="separate"/>
            </w:r>
            <w:r w:rsidRPr="00EF2775">
              <w:rPr>
                <w:rFonts w:ascii="Arial" w:hAnsi="Arial" w:cs="Arial"/>
                <w:noProof/>
                <w:webHidden/>
              </w:rPr>
              <w:t>7</w:t>
            </w:r>
            <w:r w:rsidRPr="00EF2775">
              <w:rPr>
                <w:rFonts w:ascii="Arial" w:hAnsi="Arial" w:cs="Arial"/>
                <w:noProof/>
                <w:webHidden/>
              </w:rPr>
              <w:fldChar w:fldCharType="end"/>
            </w:r>
          </w:hyperlink>
        </w:p>
        <w:p w:rsidR="00EF2775" w:rsidRPr="00EF2775" w:rsidRDefault="00EF2775">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3547" w:history="1">
            <w:r w:rsidRPr="00EF2775">
              <w:rPr>
                <w:rStyle w:val="Hyperlink"/>
                <w:rFonts w:ascii="Arial" w:hAnsi="Arial" w:cs="Arial"/>
                <w:noProof/>
              </w:rPr>
              <w:t>Successes</w:t>
            </w:r>
            <w:r w:rsidRPr="00EF2775">
              <w:rPr>
                <w:rFonts w:ascii="Arial" w:hAnsi="Arial" w:cs="Arial"/>
                <w:noProof/>
                <w:webHidden/>
              </w:rPr>
              <w:tab/>
            </w:r>
            <w:r w:rsidRPr="00EF2775">
              <w:rPr>
                <w:rFonts w:ascii="Arial" w:hAnsi="Arial" w:cs="Arial"/>
                <w:noProof/>
                <w:webHidden/>
              </w:rPr>
              <w:fldChar w:fldCharType="begin"/>
            </w:r>
            <w:r w:rsidRPr="00EF2775">
              <w:rPr>
                <w:rFonts w:ascii="Arial" w:hAnsi="Arial" w:cs="Arial"/>
                <w:noProof/>
                <w:webHidden/>
              </w:rPr>
              <w:instrText xml:space="preserve"> PAGEREF _Toc140483547 \h </w:instrText>
            </w:r>
            <w:r w:rsidRPr="00EF2775">
              <w:rPr>
                <w:rFonts w:ascii="Arial" w:hAnsi="Arial" w:cs="Arial"/>
                <w:noProof/>
                <w:webHidden/>
              </w:rPr>
            </w:r>
            <w:r w:rsidRPr="00EF2775">
              <w:rPr>
                <w:rFonts w:ascii="Arial" w:hAnsi="Arial" w:cs="Arial"/>
                <w:noProof/>
                <w:webHidden/>
              </w:rPr>
              <w:fldChar w:fldCharType="separate"/>
            </w:r>
            <w:r w:rsidRPr="00EF2775">
              <w:rPr>
                <w:rFonts w:ascii="Arial" w:hAnsi="Arial" w:cs="Arial"/>
                <w:noProof/>
                <w:webHidden/>
              </w:rPr>
              <w:t>8</w:t>
            </w:r>
            <w:r w:rsidRPr="00EF2775">
              <w:rPr>
                <w:rFonts w:ascii="Arial" w:hAnsi="Arial" w:cs="Arial"/>
                <w:noProof/>
                <w:webHidden/>
              </w:rPr>
              <w:fldChar w:fldCharType="end"/>
            </w:r>
          </w:hyperlink>
        </w:p>
        <w:p w:rsidR="00EF2775" w:rsidRPr="00EF2775" w:rsidRDefault="00EF2775">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3548" w:history="1">
            <w:r w:rsidRPr="00EF2775">
              <w:rPr>
                <w:rStyle w:val="Hyperlink"/>
                <w:rFonts w:ascii="Arial" w:hAnsi="Arial" w:cs="Arial"/>
                <w:noProof/>
              </w:rPr>
              <w:t>Challenges</w:t>
            </w:r>
            <w:r w:rsidRPr="00EF2775">
              <w:rPr>
                <w:rFonts w:ascii="Arial" w:hAnsi="Arial" w:cs="Arial"/>
                <w:noProof/>
                <w:webHidden/>
              </w:rPr>
              <w:tab/>
            </w:r>
            <w:r w:rsidRPr="00EF2775">
              <w:rPr>
                <w:rFonts w:ascii="Arial" w:hAnsi="Arial" w:cs="Arial"/>
                <w:noProof/>
                <w:webHidden/>
              </w:rPr>
              <w:fldChar w:fldCharType="begin"/>
            </w:r>
            <w:r w:rsidRPr="00EF2775">
              <w:rPr>
                <w:rFonts w:ascii="Arial" w:hAnsi="Arial" w:cs="Arial"/>
                <w:noProof/>
                <w:webHidden/>
              </w:rPr>
              <w:instrText xml:space="preserve"> PAGEREF _Toc140483548 \h </w:instrText>
            </w:r>
            <w:r w:rsidRPr="00EF2775">
              <w:rPr>
                <w:rFonts w:ascii="Arial" w:hAnsi="Arial" w:cs="Arial"/>
                <w:noProof/>
                <w:webHidden/>
              </w:rPr>
            </w:r>
            <w:r w:rsidRPr="00EF2775">
              <w:rPr>
                <w:rFonts w:ascii="Arial" w:hAnsi="Arial" w:cs="Arial"/>
                <w:noProof/>
                <w:webHidden/>
              </w:rPr>
              <w:fldChar w:fldCharType="separate"/>
            </w:r>
            <w:r w:rsidRPr="00EF2775">
              <w:rPr>
                <w:rFonts w:ascii="Arial" w:hAnsi="Arial" w:cs="Arial"/>
                <w:noProof/>
                <w:webHidden/>
              </w:rPr>
              <w:t>8</w:t>
            </w:r>
            <w:r w:rsidRPr="00EF2775">
              <w:rPr>
                <w:rFonts w:ascii="Arial" w:hAnsi="Arial" w:cs="Arial"/>
                <w:noProof/>
                <w:webHidden/>
              </w:rPr>
              <w:fldChar w:fldCharType="end"/>
            </w:r>
          </w:hyperlink>
        </w:p>
        <w:p w:rsidR="00EF2775" w:rsidRPr="00EF2775" w:rsidRDefault="00EF2775">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3549" w:history="1">
            <w:r w:rsidRPr="00EF2775">
              <w:rPr>
                <w:rStyle w:val="Hyperlink"/>
                <w:rFonts w:ascii="Arial" w:hAnsi="Arial" w:cs="Arial"/>
                <w:noProof/>
              </w:rPr>
              <w:t>Risks</w:t>
            </w:r>
            <w:r w:rsidRPr="00EF2775">
              <w:rPr>
                <w:rFonts w:ascii="Arial" w:hAnsi="Arial" w:cs="Arial"/>
                <w:noProof/>
                <w:webHidden/>
              </w:rPr>
              <w:tab/>
            </w:r>
            <w:r w:rsidRPr="00EF2775">
              <w:rPr>
                <w:rFonts w:ascii="Arial" w:hAnsi="Arial" w:cs="Arial"/>
                <w:noProof/>
                <w:webHidden/>
              </w:rPr>
              <w:fldChar w:fldCharType="begin"/>
            </w:r>
            <w:r w:rsidRPr="00EF2775">
              <w:rPr>
                <w:rFonts w:ascii="Arial" w:hAnsi="Arial" w:cs="Arial"/>
                <w:noProof/>
                <w:webHidden/>
              </w:rPr>
              <w:instrText xml:space="preserve"> PAGEREF _Toc140483549 \h </w:instrText>
            </w:r>
            <w:r w:rsidRPr="00EF2775">
              <w:rPr>
                <w:rFonts w:ascii="Arial" w:hAnsi="Arial" w:cs="Arial"/>
                <w:noProof/>
                <w:webHidden/>
              </w:rPr>
            </w:r>
            <w:r w:rsidRPr="00EF2775">
              <w:rPr>
                <w:rFonts w:ascii="Arial" w:hAnsi="Arial" w:cs="Arial"/>
                <w:noProof/>
                <w:webHidden/>
              </w:rPr>
              <w:fldChar w:fldCharType="separate"/>
            </w:r>
            <w:r w:rsidRPr="00EF2775">
              <w:rPr>
                <w:rFonts w:ascii="Arial" w:hAnsi="Arial" w:cs="Arial"/>
                <w:noProof/>
                <w:webHidden/>
              </w:rPr>
              <w:t>9</w:t>
            </w:r>
            <w:r w:rsidRPr="00EF2775">
              <w:rPr>
                <w:rFonts w:ascii="Arial" w:hAnsi="Arial" w:cs="Arial"/>
                <w:noProof/>
                <w:webHidden/>
              </w:rPr>
              <w:fldChar w:fldCharType="end"/>
            </w:r>
          </w:hyperlink>
        </w:p>
        <w:p w:rsidR="00EF2775" w:rsidRPr="00EF2775" w:rsidRDefault="00EF2775">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483550" w:history="1">
            <w:r w:rsidRPr="00EF2775">
              <w:rPr>
                <w:rStyle w:val="Hyperlink"/>
                <w:rFonts w:ascii="Arial" w:hAnsi="Arial" w:cs="Arial"/>
                <w:noProof/>
              </w:rPr>
              <w:t>Goal 3: Ensure Purposeful and Ongoing Public and Community Involvement</w:t>
            </w:r>
            <w:r w:rsidRPr="00EF2775">
              <w:rPr>
                <w:rFonts w:ascii="Arial" w:hAnsi="Arial" w:cs="Arial"/>
                <w:noProof/>
                <w:webHidden/>
              </w:rPr>
              <w:tab/>
            </w:r>
            <w:r w:rsidRPr="00EF2775">
              <w:rPr>
                <w:rFonts w:ascii="Arial" w:hAnsi="Arial" w:cs="Arial"/>
                <w:noProof/>
                <w:webHidden/>
              </w:rPr>
              <w:fldChar w:fldCharType="begin"/>
            </w:r>
            <w:r w:rsidRPr="00EF2775">
              <w:rPr>
                <w:rFonts w:ascii="Arial" w:hAnsi="Arial" w:cs="Arial"/>
                <w:noProof/>
                <w:webHidden/>
              </w:rPr>
              <w:instrText xml:space="preserve"> PAGEREF _Toc140483550 \h </w:instrText>
            </w:r>
            <w:r w:rsidRPr="00EF2775">
              <w:rPr>
                <w:rFonts w:ascii="Arial" w:hAnsi="Arial" w:cs="Arial"/>
                <w:noProof/>
                <w:webHidden/>
              </w:rPr>
            </w:r>
            <w:r w:rsidRPr="00EF2775">
              <w:rPr>
                <w:rFonts w:ascii="Arial" w:hAnsi="Arial" w:cs="Arial"/>
                <w:noProof/>
                <w:webHidden/>
              </w:rPr>
              <w:fldChar w:fldCharType="separate"/>
            </w:r>
            <w:r w:rsidRPr="00EF2775">
              <w:rPr>
                <w:rFonts w:ascii="Arial" w:hAnsi="Arial" w:cs="Arial"/>
                <w:noProof/>
                <w:webHidden/>
              </w:rPr>
              <w:t>9</w:t>
            </w:r>
            <w:r w:rsidRPr="00EF2775">
              <w:rPr>
                <w:rFonts w:ascii="Arial" w:hAnsi="Arial" w:cs="Arial"/>
                <w:noProof/>
                <w:webHidden/>
              </w:rPr>
              <w:fldChar w:fldCharType="end"/>
            </w:r>
          </w:hyperlink>
        </w:p>
        <w:p w:rsidR="00EF2775" w:rsidRPr="00EF2775" w:rsidRDefault="00EF2775">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3551" w:history="1">
            <w:r w:rsidRPr="00EF2775">
              <w:rPr>
                <w:rStyle w:val="Hyperlink"/>
                <w:rFonts w:ascii="Arial" w:hAnsi="Arial" w:cs="Arial"/>
                <w:noProof/>
              </w:rPr>
              <w:t>Key developments since last meeting</w:t>
            </w:r>
            <w:r w:rsidRPr="00EF2775">
              <w:rPr>
                <w:rFonts w:ascii="Arial" w:hAnsi="Arial" w:cs="Arial"/>
                <w:noProof/>
                <w:webHidden/>
              </w:rPr>
              <w:tab/>
            </w:r>
            <w:r w:rsidRPr="00EF2775">
              <w:rPr>
                <w:rFonts w:ascii="Arial" w:hAnsi="Arial" w:cs="Arial"/>
                <w:noProof/>
                <w:webHidden/>
              </w:rPr>
              <w:fldChar w:fldCharType="begin"/>
            </w:r>
            <w:r w:rsidRPr="00EF2775">
              <w:rPr>
                <w:rFonts w:ascii="Arial" w:hAnsi="Arial" w:cs="Arial"/>
                <w:noProof/>
                <w:webHidden/>
              </w:rPr>
              <w:instrText xml:space="preserve"> PAGEREF _Toc140483551 \h </w:instrText>
            </w:r>
            <w:r w:rsidRPr="00EF2775">
              <w:rPr>
                <w:rFonts w:ascii="Arial" w:hAnsi="Arial" w:cs="Arial"/>
                <w:noProof/>
                <w:webHidden/>
              </w:rPr>
            </w:r>
            <w:r w:rsidRPr="00EF2775">
              <w:rPr>
                <w:rFonts w:ascii="Arial" w:hAnsi="Arial" w:cs="Arial"/>
                <w:noProof/>
                <w:webHidden/>
              </w:rPr>
              <w:fldChar w:fldCharType="separate"/>
            </w:r>
            <w:r w:rsidRPr="00EF2775">
              <w:rPr>
                <w:rFonts w:ascii="Arial" w:hAnsi="Arial" w:cs="Arial"/>
                <w:noProof/>
                <w:webHidden/>
              </w:rPr>
              <w:t>9</w:t>
            </w:r>
            <w:r w:rsidRPr="00EF2775">
              <w:rPr>
                <w:rFonts w:ascii="Arial" w:hAnsi="Arial" w:cs="Arial"/>
                <w:noProof/>
                <w:webHidden/>
              </w:rPr>
              <w:fldChar w:fldCharType="end"/>
            </w:r>
          </w:hyperlink>
        </w:p>
        <w:p w:rsidR="00EF2775" w:rsidRPr="00EF2775" w:rsidRDefault="00EF2775">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3552" w:history="1">
            <w:r w:rsidRPr="00EF2775">
              <w:rPr>
                <w:rStyle w:val="Hyperlink"/>
                <w:rFonts w:ascii="Arial" w:hAnsi="Arial" w:cs="Arial"/>
                <w:noProof/>
              </w:rPr>
              <w:t>Successes</w:t>
            </w:r>
            <w:r w:rsidRPr="00EF2775">
              <w:rPr>
                <w:rFonts w:ascii="Arial" w:hAnsi="Arial" w:cs="Arial"/>
                <w:noProof/>
                <w:webHidden/>
              </w:rPr>
              <w:tab/>
            </w:r>
            <w:r w:rsidRPr="00EF2775">
              <w:rPr>
                <w:rFonts w:ascii="Arial" w:hAnsi="Arial" w:cs="Arial"/>
                <w:noProof/>
                <w:webHidden/>
              </w:rPr>
              <w:fldChar w:fldCharType="begin"/>
            </w:r>
            <w:r w:rsidRPr="00EF2775">
              <w:rPr>
                <w:rFonts w:ascii="Arial" w:hAnsi="Arial" w:cs="Arial"/>
                <w:noProof/>
                <w:webHidden/>
              </w:rPr>
              <w:instrText xml:space="preserve"> PAGEREF _Toc140483552 \h </w:instrText>
            </w:r>
            <w:r w:rsidRPr="00EF2775">
              <w:rPr>
                <w:rFonts w:ascii="Arial" w:hAnsi="Arial" w:cs="Arial"/>
                <w:noProof/>
                <w:webHidden/>
              </w:rPr>
            </w:r>
            <w:r w:rsidRPr="00EF2775">
              <w:rPr>
                <w:rFonts w:ascii="Arial" w:hAnsi="Arial" w:cs="Arial"/>
                <w:noProof/>
                <w:webHidden/>
              </w:rPr>
              <w:fldChar w:fldCharType="separate"/>
            </w:r>
            <w:r w:rsidRPr="00EF2775">
              <w:rPr>
                <w:rFonts w:ascii="Arial" w:hAnsi="Arial" w:cs="Arial"/>
                <w:noProof/>
                <w:webHidden/>
              </w:rPr>
              <w:t>10</w:t>
            </w:r>
            <w:r w:rsidRPr="00EF2775">
              <w:rPr>
                <w:rFonts w:ascii="Arial" w:hAnsi="Arial" w:cs="Arial"/>
                <w:noProof/>
                <w:webHidden/>
              </w:rPr>
              <w:fldChar w:fldCharType="end"/>
            </w:r>
          </w:hyperlink>
        </w:p>
        <w:p w:rsidR="00EF2775" w:rsidRPr="00EF2775" w:rsidRDefault="00EF2775">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3553" w:history="1">
            <w:r w:rsidRPr="00EF2775">
              <w:rPr>
                <w:rStyle w:val="Hyperlink"/>
                <w:rFonts w:ascii="Arial" w:hAnsi="Arial" w:cs="Arial"/>
                <w:noProof/>
              </w:rPr>
              <w:t>Challenges</w:t>
            </w:r>
            <w:r w:rsidRPr="00EF2775">
              <w:rPr>
                <w:rFonts w:ascii="Arial" w:hAnsi="Arial" w:cs="Arial"/>
                <w:noProof/>
                <w:webHidden/>
              </w:rPr>
              <w:tab/>
            </w:r>
            <w:r w:rsidRPr="00EF2775">
              <w:rPr>
                <w:rFonts w:ascii="Arial" w:hAnsi="Arial" w:cs="Arial"/>
                <w:noProof/>
                <w:webHidden/>
              </w:rPr>
              <w:fldChar w:fldCharType="begin"/>
            </w:r>
            <w:r w:rsidRPr="00EF2775">
              <w:rPr>
                <w:rFonts w:ascii="Arial" w:hAnsi="Arial" w:cs="Arial"/>
                <w:noProof/>
                <w:webHidden/>
              </w:rPr>
              <w:instrText xml:space="preserve"> PAGEREF _Toc140483553 \h </w:instrText>
            </w:r>
            <w:r w:rsidRPr="00EF2775">
              <w:rPr>
                <w:rFonts w:ascii="Arial" w:hAnsi="Arial" w:cs="Arial"/>
                <w:noProof/>
                <w:webHidden/>
              </w:rPr>
            </w:r>
            <w:r w:rsidRPr="00EF2775">
              <w:rPr>
                <w:rFonts w:ascii="Arial" w:hAnsi="Arial" w:cs="Arial"/>
                <w:noProof/>
                <w:webHidden/>
              </w:rPr>
              <w:fldChar w:fldCharType="separate"/>
            </w:r>
            <w:r w:rsidRPr="00EF2775">
              <w:rPr>
                <w:rFonts w:ascii="Arial" w:hAnsi="Arial" w:cs="Arial"/>
                <w:noProof/>
                <w:webHidden/>
              </w:rPr>
              <w:t>10</w:t>
            </w:r>
            <w:r w:rsidRPr="00EF2775">
              <w:rPr>
                <w:rFonts w:ascii="Arial" w:hAnsi="Arial" w:cs="Arial"/>
                <w:noProof/>
                <w:webHidden/>
              </w:rPr>
              <w:fldChar w:fldCharType="end"/>
            </w:r>
          </w:hyperlink>
        </w:p>
        <w:p w:rsidR="00EF2775" w:rsidRPr="00EF2775" w:rsidRDefault="00EF2775">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3554" w:history="1">
            <w:r w:rsidRPr="00EF2775">
              <w:rPr>
                <w:rStyle w:val="Hyperlink"/>
                <w:rFonts w:ascii="Arial" w:hAnsi="Arial" w:cs="Arial"/>
                <w:noProof/>
              </w:rPr>
              <w:t>Risks</w:t>
            </w:r>
            <w:r w:rsidRPr="00EF2775">
              <w:rPr>
                <w:rFonts w:ascii="Arial" w:hAnsi="Arial" w:cs="Arial"/>
                <w:noProof/>
                <w:webHidden/>
              </w:rPr>
              <w:tab/>
            </w:r>
            <w:r w:rsidRPr="00EF2775">
              <w:rPr>
                <w:rFonts w:ascii="Arial" w:hAnsi="Arial" w:cs="Arial"/>
                <w:noProof/>
                <w:webHidden/>
              </w:rPr>
              <w:fldChar w:fldCharType="begin"/>
            </w:r>
            <w:r w:rsidRPr="00EF2775">
              <w:rPr>
                <w:rFonts w:ascii="Arial" w:hAnsi="Arial" w:cs="Arial"/>
                <w:noProof/>
                <w:webHidden/>
              </w:rPr>
              <w:instrText xml:space="preserve"> PAGEREF _Toc140483554 \h </w:instrText>
            </w:r>
            <w:r w:rsidRPr="00EF2775">
              <w:rPr>
                <w:rFonts w:ascii="Arial" w:hAnsi="Arial" w:cs="Arial"/>
                <w:noProof/>
                <w:webHidden/>
              </w:rPr>
            </w:r>
            <w:r w:rsidRPr="00EF2775">
              <w:rPr>
                <w:rFonts w:ascii="Arial" w:hAnsi="Arial" w:cs="Arial"/>
                <w:noProof/>
                <w:webHidden/>
              </w:rPr>
              <w:fldChar w:fldCharType="separate"/>
            </w:r>
            <w:r w:rsidRPr="00EF2775">
              <w:rPr>
                <w:rFonts w:ascii="Arial" w:hAnsi="Arial" w:cs="Arial"/>
                <w:noProof/>
                <w:webHidden/>
              </w:rPr>
              <w:t>10</w:t>
            </w:r>
            <w:r w:rsidRPr="00EF2775">
              <w:rPr>
                <w:rFonts w:ascii="Arial" w:hAnsi="Arial" w:cs="Arial"/>
                <w:noProof/>
                <w:webHidden/>
              </w:rPr>
              <w:fldChar w:fldCharType="end"/>
            </w:r>
          </w:hyperlink>
        </w:p>
        <w:p w:rsidR="00EF2775" w:rsidRPr="00EF2775" w:rsidRDefault="00EF2775">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483555" w:history="1">
            <w:r w:rsidRPr="00EF2775">
              <w:rPr>
                <w:rStyle w:val="Hyperlink"/>
                <w:rFonts w:ascii="Arial" w:hAnsi="Arial" w:cs="Arial"/>
                <w:noProof/>
              </w:rPr>
              <w:t>Goal 4: Establish and Strengthen Partnerships and Provide Leadership for Evolving Data Practices</w:t>
            </w:r>
            <w:r w:rsidRPr="00EF2775">
              <w:rPr>
                <w:rFonts w:ascii="Arial" w:hAnsi="Arial" w:cs="Arial"/>
                <w:noProof/>
                <w:webHidden/>
              </w:rPr>
              <w:tab/>
            </w:r>
            <w:r w:rsidRPr="00EF2775">
              <w:rPr>
                <w:rFonts w:ascii="Arial" w:hAnsi="Arial" w:cs="Arial"/>
                <w:noProof/>
                <w:webHidden/>
              </w:rPr>
              <w:fldChar w:fldCharType="begin"/>
            </w:r>
            <w:r w:rsidRPr="00EF2775">
              <w:rPr>
                <w:rFonts w:ascii="Arial" w:hAnsi="Arial" w:cs="Arial"/>
                <w:noProof/>
                <w:webHidden/>
              </w:rPr>
              <w:instrText xml:space="preserve"> PAGEREF _Toc140483555 \h </w:instrText>
            </w:r>
            <w:r w:rsidRPr="00EF2775">
              <w:rPr>
                <w:rFonts w:ascii="Arial" w:hAnsi="Arial" w:cs="Arial"/>
                <w:noProof/>
                <w:webHidden/>
              </w:rPr>
            </w:r>
            <w:r w:rsidRPr="00EF2775">
              <w:rPr>
                <w:rFonts w:ascii="Arial" w:hAnsi="Arial" w:cs="Arial"/>
                <w:noProof/>
                <w:webHidden/>
              </w:rPr>
              <w:fldChar w:fldCharType="separate"/>
            </w:r>
            <w:r w:rsidRPr="00EF2775">
              <w:rPr>
                <w:rFonts w:ascii="Arial" w:hAnsi="Arial" w:cs="Arial"/>
                <w:noProof/>
                <w:webHidden/>
              </w:rPr>
              <w:t>11</w:t>
            </w:r>
            <w:r w:rsidRPr="00EF2775">
              <w:rPr>
                <w:rFonts w:ascii="Arial" w:hAnsi="Arial" w:cs="Arial"/>
                <w:noProof/>
                <w:webHidden/>
              </w:rPr>
              <w:fldChar w:fldCharType="end"/>
            </w:r>
          </w:hyperlink>
        </w:p>
        <w:p w:rsidR="00EF2775" w:rsidRPr="00EF2775" w:rsidRDefault="00EF2775">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3556" w:history="1">
            <w:r w:rsidRPr="00EF2775">
              <w:rPr>
                <w:rStyle w:val="Hyperlink"/>
                <w:rFonts w:ascii="Arial" w:hAnsi="Arial" w:cs="Arial"/>
                <w:noProof/>
              </w:rPr>
              <w:t>Key developments since last meeting</w:t>
            </w:r>
            <w:r w:rsidRPr="00EF2775">
              <w:rPr>
                <w:rFonts w:ascii="Arial" w:hAnsi="Arial" w:cs="Arial"/>
                <w:noProof/>
                <w:webHidden/>
              </w:rPr>
              <w:tab/>
            </w:r>
            <w:r w:rsidRPr="00EF2775">
              <w:rPr>
                <w:rFonts w:ascii="Arial" w:hAnsi="Arial" w:cs="Arial"/>
                <w:noProof/>
                <w:webHidden/>
              </w:rPr>
              <w:fldChar w:fldCharType="begin"/>
            </w:r>
            <w:r w:rsidRPr="00EF2775">
              <w:rPr>
                <w:rFonts w:ascii="Arial" w:hAnsi="Arial" w:cs="Arial"/>
                <w:noProof/>
                <w:webHidden/>
              </w:rPr>
              <w:instrText xml:space="preserve"> PAGEREF _Toc140483556 \h </w:instrText>
            </w:r>
            <w:r w:rsidRPr="00EF2775">
              <w:rPr>
                <w:rFonts w:ascii="Arial" w:hAnsi="Arial" w:cs="Arial"/>
                <w:noProof/>
                <w:webHidden/>
              </w:rPr>
            </w:r>
            <w:r w:rsidRPr="00EF2775">
              <w:rPr>
                <w:rFonts w:ascii="Arial" w:hAnsi="Arial" w:cs="Arial"/>
                <w:noProof/>
                <w:webHidden/>
              </w:rPr>
              <w:fldChar w:fldCharType="separate"/>
            </w:r>
            <w:r w:rsidRPr="00EF2775">
              <w:rPr>
                <w:rFonts w:ascii="Arial" w:hAnsi="Arial" w:cs="Arial"/>
                <w:noProof/>
                <w:webHidden/>
              </w:rPr>
              <w:t>11</w:t>
            </w:r>
            <w:r w:rsidRPr="00EF2775">
              <w:rPr>
                <w:rFonts w:ascii="Arial" w:hAnsi="Arial" w:cs="Arial"/>
                <w:noProof/>
                <w:webHidden/>
              </w:rPr>
              <w:fldChar w:fldCharType="end"/>
            </w:r>
          </w:hyperlink>
        </w:p>
        <w:p w:rsidR="00EF2775" w:rsidRPr="00EF2775" w:rsidRDefault="00EF2775">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3557" w:history="1">
            <w:r w:rsidRPr="00EF2775">
              <w:rPr>
                <w:rStyle w:val="Hyperlink"/>
                <w:rFonts w:ascii="Arial" w:hAnsi="Arial" w:cs="Arial"/>
                <w:noProof/>
              </w:rPr>
              <w:t>Successes</w:t>
            </w:r>
            <w:r w:rsidRPr="00EF2775">
              <w:rPr>
                <w:rFonts w:ascii="Arial" w:hAnsi="Arial" w:cs="Arial"/>
                <w:noProof/>
                <w:webHidden/>
              </w:rPr>
              <w:tab/>
            </w:r>
            <w:r w:rsidRPr="00EF2775">
              <w:rPr>
                <w:rFonts w:ascii="Arial" w:hAnsi="Arial" w:cs="Arial"/>
                <w:noProof/>
                <w:webHidden/>
              </w:rPr>
              <w:fldChar w:fldCharType="begin"/>
            </w:r>
            <w:r w:rsidRPr="00EF2775">
              <w:rPr>
                <w:rFonts w:ascii="Arial" w:hAnsi="Arial" w:cs="Arial"/>
                <w:noProof/>
                <w:webHidden/>
              </w:rPr>
              <w:instrText xml:space="preserve"> PAGEREF _Toc140483557 \h </w:instrText>
            </w:r>
            <w:r w:rsidRPr="00EF2775">
              <w:rPr>
                <w:rFonts w:ascii="Arial" w:hAnsi="Arial" w:cs="Arial"/>
                <w:noProof/>
                <w:webHidden/>
              </w:rPr>
            </w:r>
            <w:r w:rsidRPr="00EF2775">
              <w:rPr>
                <w:rFonts w:ascii="Arial" w:hAnsi="Arial" w:cs="Arial"/>
                <w:noProof/>
                <w:webHidden/>
              </w:rPr>
              <w:fldChar w:fldCharType="separate"/>
            </w:r>
            <w:r w:rsidRPr="00EF2775">
              <w:rPr>
                <w:rFonts w:ascii="Arial" w:hAnsi="Arial" w:cs="Arial"/>
                <w:noProof/>
                <w:webHidden/>
              </w:rPr>
              <w:t>11</w:t>
            </w:r>
            <w:r w:rsidRPr="00EF2775">
              <w:rPr>
                <w:rFonts w:ascii="Arial" w:hAnsi="Arial" w:cs="Arial"/>
                <w:noProof/>
                <w:webHidden/>
              </w:rPr>
              <w:fldChar w:fldCharType="end"/>
            </w:r>
          </w:hyperlink>
        </w:p>
        <w:p w:rsidR="00EF2775" w:rsidRPr="00EF2775" w:rsidRDefault="00EF2775">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3558" w:history="1">
            <w:r w:rsidRPr="00EF2775">
              <w:rPr>
                <w:rStyle w:val="Hyperlink"/>
                <w:rFonts w:ascii="Arial" w:hAnsi="Arial" w:cs="Arial"/>
                <w:noProof/>
              </w:rPr>
              <w:t>Challenges</w:t>
            </w:r>
            <w:r w:rsidRPr="00EF2775">
              <w:rPr>
                <w:rFonts w:ascii="Arial" w:hAnsi="Arial" w:cs="Arial"/>
                <w:noProof/>
                <w:webHidden/>
              </w:rPr>
              <w:tab/>
            </w:r>
            <w:r w:rsidRPr="00EF2775">
              <w:rPr>
                <w:rFonts w:ascii="Arial" w:hAnsi="Arial" w:cs="Arial"/>
                <w:noProof/>
                <w:webHidden/>
              </w:rPr>
              <w:fldChar w:fldCharType="begin"/>
            </w:r>
            <w:r w:rsidRPr="00EF2775">
              <w:rPr>
                <w:rFonts w:ascii="Arial" w:hAnsi="Arial" w:cs="Arial"/>
                <w:noProof/>
                <w:webHidden/>
              </w:rPr>
              <w:instrText xml:space="preserve"> PAGEREF _Toc140483558 \h </w:instrText>
            </w:r>
            <w:r w:rsidRPr="00EF2775">
              <w:rPr>
                <w:rFonts w:ascii="Arial" w:hAnsi="Arial" w:cs="Arial"/>
                <w:noProof/>
                <w:webHidden/>
              </w:rPr>
            </w:r>
            <w:r w:rsidRPr="00EF2775">
              <w:rPr>
                <w:rFonts w:ascii="Arial" w:hAnsi="Arial" w:cs="Arial"/>
                <w:noProof/>
                <w:webHidden/>
              </w:rPr>
              <w:fldChar w:fldCharType="separate"/>
            </w:r>
            <w:r w:rsidRPr="00EF2775">
              <w:rPr>
                <w:rFonts w:ascii="Arial" w:hAnsi="Arial" w:cs="Arial"/>
                <w:noProof/>
                <w:webHidden/>
              </w:rPr>
              <w:t>12</w:t>
            </w:r>
            <w:r w:rsidRPr="00EF2775">
              <w:rPr>
                <w:rFonts w:ascii="Arial" w:hAnsi="Arial" w:cs="Arial"/>
                <w:noProof/>
                <w:webHidden/>
              </w:rPr>
              <w:fldChar w:fldCharType="end"/>
            </w:r>
          </w:hyperlink>
        </w:p>
        <w:p w:rsidR="00EF2775" w:rsidRPr="00EF2775" w:rsidRDefault="00EF2775">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3559" w:history="1">
            <w:r w:rsidRPr="00EF2775">
              <w:rPr>
                <w:rStyle w:val="Hyperlink"/>
                <w:rFonts w:ascii="Arial" w:hAnsi="Arial" w:cs="Arial"/>
                <w:noProof/>
              </w:rPr>
              <w:t>Risks</w:t>
            </w:r>
            <w:r w:rsidRPr="00EF2775">
              <w:rPr>
                <w:rFonts w:ascii="Arial" w:hAnsi="Arial" w:cs="Arial"/>
                <w:noProof/>
                <w:webHidden/>
              </w:rPr>
              <w:tab/>
            </w:r>
            <w:r w:rsidRPr="00EF2775">
              <w:rPr>
                <w:rFonts w:ascii="Arial" w:hAnsi="Arial" w:cs="Arial"/>
                <w:noProof/>
                <w:webHidden/>
              </w:rPr>
              <w:fldChar w:fldCharType="begin"/>
            </w:r>
            <w:r w:rsidRPr="00EF2775">
              <w:rPr>
                <w:rFonts w:ascii="Arial" w:hAnsi="Arial" w:cs="Arial"/>
                <w:noProof/>
                <w:webHidden/>
              </w:rPr>
              <w:instrText xml:space="preserve"> PAGEREF _Toc140483559 \h </w:instrText>
            </w:r>
            <w:r w:rsidRPr="00EF2775">
              <w:rPr>
                <w:rFonts w:ascii="Arial" w:hAnsi="Arial" w:cs="Arial"/>
                <w:noProof/>
                <w:webHidden/>
              </w:rPr>
            </w:r>
            <w:r w:rsidRPr="00EF2775">
              <w:rPr>
                <w:rFonts w:ascii="Arial" w:hAnsi="Arial" w:cs="Arial"/>
                <w:noProof/>
                <w:webHidden/>
              </w:rPr>
              <w:fldChar w:fldCharType="separate"/>
            </w:r>
            <w:r w:rsidRPr="00EF2775">
              <w:rPr>
                <w:rFonts w:ascii="Arial" w:hAnsi="Arial" w:cs="Arial"/>
                <w:noProof/>
                <w:webHidden/>
              </w:rPr>
              <w:t>12</w:t>
            </w:r>
            <w:r w:rsidRPr="00EF2775">
              <w:rPr>
                <w:rFonts w:ascii="Arial" w:hAnsi="Arial" w:cs="Arial"/>
                <w:noProof/>
                <w:webHidden/>
              </w:rPr>
              <w:fldChar w:fldCharType="end"/>
            </w:r>
          </w:hyperlink>
        </w:p>
        <w:p w:rsidR="00EF2775" w:rsidRPr="00EF2775" w:rsidRDefault="00EF2775">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483560" w:history="1">
            <w:r w:rsidRPr="00EF2775">
              <w:rPr>
                <w:rStyle w:val="Hyperlink"/>
                <w:rFonts w:ascii="Arial" w:hAnsi="Arial" w:cs="Arial"/>
                <w:noProof/>
              </w:rPr>
              <w:t>Goal 5: Strengthen Data Use to Improve Equity, and Support Indigenous-led Data Sovereignty</w:t>
            </w:r>
            <w:r w:rsidRPr="00EF2775">
              <w:rPr>
                <w:rFonts w:ascii="Arial" w:hAnsi="Arial" w:cs="Arial"/>
                <w:noProof/>
                <w:webHidden/>
              </w:rPr>
              <w:tab/>
            </w:r>
            <w:r w:rsidRPr="00EF2775">
              <w:rPr>
                <w:rFonts w:ascii="Arial" w:hAnsi="Arial" w:cs="Arial"/>
                <w:noProof/>
                <w:webHidden/>
              </w:rPr>
              <w:fldChar w:fldCharType="begin"/>
            </w:r>
            <w:r w:rsidRPr="00EF2775">
              <w:rPr>
                <w:rFonts w:ascii="Arial" w:hAnsi="Arial" w:cs="Arial"/>
                <w:noProof/>
                <w:webHidden/>
              </w:rPr>
              <w:instrText xml:space="preserve"> PAGEREF _Toc140483560 \h </w:instrText>
            </w:r>
            <w:r w:rsidRPr="00EF2775">
              <w:rPr>
                <w:rFonts w:ascii="Arial" w:hAnsi="Arial" w:cs="Arial"/>
                <w:noProof/>
                <w:webHidden/>
              </w:rPr>
            </w:r>
            <w:r w:rsidRPr="00EF2775">
              <w:rPr>
                <w:rFonts w:ascii="Arial" w:hAnsi="Arial" w:cs="Arial"/>
                <w:noProof/>
                <w:webHidden/>
              </w:rPr>
              <w:fldChar w:fldCharType="separate"/>
            </w:r>
            <w:r w:rsidRPr="00EF2775">
              <w:rPr>
                <w:rFonts w:ascii="Arial" w:hAnsi="Arial" w:cs="Arial"/>
                <w:noProof/>
                <w:webHidden/>
              </w:rPr>
              <w:t>12</w:t>
            </w:r>
            <w:r w:rsidRPr="00EF2775">
              <w:rPr>
                <w:rFonts w:ascii="Arial" w:hAnsi="Arial" w:cs="Arial"/>
                <w:noProof/>
                <w:webHidden/>
              </w:rPr>
              <w:fldChar w:fldCharType="end"/>
            </w:r>
          </w:hyperlink>
        </w:p>
        <w:p w:rsidR="00EF2775" w:rsidRPr="00EF2775" w:rsidRDefault="00EF2775">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3561" w:history="1">
            <w:r w:rsidRPr="00EF2775">
              <w:rPr>
                <w:rStyle w:val="Hyperlink"/>
                <w:rFonts w:ascii="Arial" w:hAnsi="Arial" w:cs="Arial"/>
                <w:noProof/>
              </w:rPr>
              <w:t>Key developments since last meeting</w:t>
            </w:r>
            <w:r w:rsidRPr="00EF2775">
              <w:rPr>
                <w:rFonts w:ascii="Arial" w:hAnsi="Arial" w:cs="Arial"/>
                <w:noProof/>
                <w:webHidden/>
              </w:rPr>
              <w:tab/>
            </w:r>
            <w:r w:rsidRPr="00EF2775">
              <w:rPr>
                <w:rFonts w:ascii="Arial" w:hAnsi="Arial" w:cs="Arial"/>
                <w:noProof/>
                <w:webHidden/>
              </w:rPr>
              <w:fldChar w:fldCharType="begin"/>
            </w:r>
            <w:r w:rsidRPr="00EF2775">
              <w:rPr>
                <w:rFonts w:ascii="Arial" w:hAnsi="Arial" w:cs="Arial"/>
                <w:noProof/>
                <w:webHidden/>
              </w:rPr>
              <w:instrText xml:space="preserve"> PAGEREF _Toc140483561 \h </w:instrText>
            </w:r>
            <w:r w:rsidRPr="00EF2775">
              <w:rPr>
                <w:rFonts w:ascii="Arial" w:hAnsi="Arial" w:cs="Arial"/>
                <w:noProof/>
                <w:webHidden/>
              </w:rPr>
            </w:r>
            <w:r w:rsidRPr="00EF2775">
              <w:rPr>
                <w:rFonts w:ascii="Arial" w:hAnsi="Arial" w:cs="Arial"/>
                <w:noProof/>
                <w:webHidden/>
              </w:rPr>
              <w:fldChar w:fldCharType="separate"/>
            </w:r>
            <w:r w:rsidRPr="00EF2775">
              <w:rPr>
                <w:rFonts w:ascii="Arial" w:hAnsi="Arial" w:cs="Arial"/>
                <w:noProof/>
                <w:webHidden/>
              </w:rPr>
              <w:t>12</w:t>
            </w:r>
            <w:r w:rsidRPr="00EF2775">
              <w:rPr>
                <w:rFonts w:ascii="Arial" w:hAnsi="Arial" w:cs="Arial"/>
                <w:noProof/>
                <w:webHidden/>
              </w:rPr>
              <w:fldChar w:fldCharType="end"/>
            </w:r>
          </w:hyperlink>
        </w:p>
        <w:p w:rsidR="00EF2775" w:rsidRPr="00EF2775" w:rsidRDefault="00EF2775">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3562" w:history="1">
            <w:r w:rsidRPr="00EF2775">
              <w:rPr>
                <w:rStyle w:val="Hyperlink"/>
                <w:rFonts w:ascii="Arial" w:hAnsi="Arial" w:cs="Arial"/>
                <w:noProof/>
              </w:rPr>
              <w:t>Challenges</w:t>
            </w:r>
            <w:r w:rsidRPr="00EF2775">
              <w:rPr>
                <w:rFonts w:ascii="Arial" w:hAnsi="Arial" w:cs="Arial"/>
                <w:noProof/>
                <w:webHidden/>
              </w:rPr>
              <w:tab/>
            </w:r>
            <w:r w:rsidRPr="00EF2775">
              <w:rPr>
                <w:rFonts w:ascii="Arial" w:hAnsi="Arial" w:cs="Arial"/>
                <w:noProof/>
                <w:webHidden/>
              </w:rPr>
              <w:fldChar w:fldCharType="begin"/>
            </w:r>
            <w:r w:rsidRPr="00EF2775">
              <w:rPr>
                <w:rFonts w:ascii="Arial" w:hAnsi="Arial" w:cs="Arial"/>
                <w:noProof/>
                <w:webHidden/>
              </w:rPr>
              <w:instrText xml:space="preserve"> PAGEREF _Toc140483562 \h </w:instrText>
            </w:r>
            <w:r w:rsidRPr="00EF2775">
              <w:rPr>
                <w:rFonts w:ascii="Arial" w:hAnsi="Arial" w:cs="Arial"/>
                <w:noProof/>
                <w:webHidden/>
              </w:rPr>
            </w:r>
            <w:r w:rsidRPr="00EF2775">
              <w:rPr>
                <w:rFonts w:ascii="Arial" w:hAnsi="Arial" w:cs="Arial"/>
                <w:noProof/>
                <w:webHidden/>
              </w:rPr>
              <w:fldChar w:fldCharType="separate"/>
            </w:r>
            <w:r w:rsidRPr="00EF2775">
              <w:rPr>
                <w:rFonts w:ascii="Arial" w:hAnsi="Arial" w:cs="Arial"/>
                <w:noProof/>
                <w:webHidden/>
              </w:rPr>
              <w:t>14</w:t>
            </w:r>
            <w:r w:rsidRPr="00EF2775">
              <w:rPr>
                <w:rFonts w:ascii="Arial" w:hAnsi="Arial" w:cs="Arial"/>
                <w:noProof/>
                <w:webHidden/>
              </w:rPr>
              <w:fldChar w:fldCharType="end"/>
            </w:r>
          </w:hyperlink>
        </w:p>
        <w:p w:rsidR="00EF2775" w:rsidRPr="00EF2775" w:rsidRDefault="00EF2775">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3563" w:history="1">
            <w:r w:rsidRPr="00EF2775">
              <w:rPr>
                <w:rStyle w:val="Hyperlink"/>
                <w:rFonts w:ascii="Arial" w:hAnsi="Arial" w:cs="Arial"/>
                <w:noProof/>
              </w:rPr>
              <w:t>Risks</w:t>
            </w:r>
            <w:r w:rsidRPr="00EF2775">
              <w:rPr>
                <w:rFonts w:ascii="Arial" w:hAnsi="Arial" w:cs="Arial"/>
                <w:noProof/>
                <w:webHidden/>
              </w:rPr>
              <w:tab/>
            </w:r>
            <w:r w:rsidRPr="00EF2775">
              <w:rPr>
                <w:rFonts w:ascii="Arial" w:hAnsi="Arial" w:cs="Arial"/>
                <w:noProof/>
                <w:webHidden/>
              </w:rPr>
              <w:fldChar w:fldCharType="begin"/>
            </w:r>
            <w:r w:rsidRPr="00EF2775">
              <w:rPr>
                <w:rFonts w:ascii="Arial" w:hAnsi="Arial" w:cs="Arial"/>
                <w:noProof/>
                <w:webHidden/>
              </w:rPr>
              <w:instrText xml:space="preserve"> PAGEREF _Toc140483563 \h </w:instrText>
            </w:r>
            <w:r w:rsidRPr="00EF2775">
              <w:rPr>
                <w:rFonts w:ascii="Arial" w:hAnsi="Arial" w:cs="Arial"/>
                <w:noProof/>
                <w:webHidden/>
              </w:rPr>
            </w:r>
            <w:r w:rsidRPr="00EF2775">
              <w:rPr>
                <w:rFonts w:ascii="Arial" w:hAnsi="Arial" w:cs="Arial"/>
                <w:noProof/>
                <w:webHidden/>
              </w:rPr>
              <w:fldChar w:fldCharType="separate"/>
            </w:r>
            <w:r w:rsidRPr="00EF2775">
              <w:rPr>
                <w:rFonts w:ascii="Arial" w:hAnsi="Arial" w:cs="Arial"/>
                <w:noProof/>
                <w:webHidden/>
              </w:rPr>
              <w:t>14</w:t>
            </w:r>
            <w:r w:rsidRPr="00EF2775">
              <w:rPr>
                <w:rFonts w:ascii="Arial" w:hAnsi="Arial" w:cs="Arial"/>
                <w:noProof/>
                <w:webHidden/>
              </w:rPr>
              <w:fldChar w:fldCharType="end"/>
            </w:r>
          </w:hyperlink>
        </w:p>
        <w:p w:rsidR="00EF2775" w:rsidRPr="00EF2775" w:rsidRDefault="00EF2775">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483564" w:history="1">
            <w:r w:rsidRPr="00EF2775">
              <w:rPr>
                <w:rStyle w:val="Hyperlink"/>
                <w:rFonts w:ascii="Arial" w:hAnsi="Arial" w:cs="Arial"/>
                <w:noProof/>
              </w:rPr>
              <w:t>Success Factor: Cohesive Network with Effective and Sustainable Operations</w:t>
            </w:r>
            <w:r w:rsidRPr="00EF2775">
              <w:rPr>
                <w:rFonts w:ascii="Arial" w:hAnsi="Arial" w:cs="Arial"/>
                <w:noProof/>
                <w:webHidden/>
              </w:rPr>
              <w:tab/>
            </w:r>
            <w:r w:rsidRPr="00EF2775">
              <w:rPr>
                <w:rFonts w:ascii="Arial" w:hAnsi="Arial" w:cs="Arial"/>
                <w:noProof/>
                <w:webHidden/>
              </w:rPr>
              <w:fldChar w:fldCharType="begin"/>
            </w:r>
            <w:r w:rsidRPr="00EF2775">
              <w:rPr>
                <w:rFonts w:ascii="Arial" w:hAnsi="Arial" w:cs="Arial"/>
                <w:noProof/>
                <w:webHidden/>
              </w:rPr>
              <w:instrText xml:space="preserve"> PAGEREF _Toc140483564 \h </w:instrText>
            </w:r>
            <w:r w:rsidRPr="00EF2775">
              <w:rPr>
                <w:rFonts w:ascii="Arial" w:hAnsi="Arial" w:cs="Arial"/>
                <w:noProof/>
                <w:webHidden/>
              </w:rPr>
            </w:r>
            <w:r w:rsidRPr="00EF2775">
              <w:rPr>
                <w:rFonts w:ascii="Arial" w:hAnsi="Arial" w:cs="Arial"/>
                <w:noProof/>
                <w:webHidden/>
              </w:rPr>
              <w:fldChar w:fldCharType="separate"/>
            </w:r>
            <w:r w:rsidRPr="00EF2775">
              <w:rPr>
                <w:rFonts w:ascii="Arial" w:hAnsi="Arial" w:cs="Arial"/>
                <w:noProof/>
                <w:webHidden/>
              </w:rPr>
              <w:t>15</w:t>
            </w:r>
            <w:r w:rsidRPr="00EF2775">
              <w:rPr>
                <w:rFonts w:ascii="Arial" w:hAnsi="Arial" w:cs="Arial"/>
                <w:noProof/>
                <w:webHidden/>
              </w:rPr>
              <w:fldChar w:fldCharType="end"/>
            </w:r>
          </w:hyperlink>
        </w:p>
        <w:p w:rsidR="00EF2775" w:rsidRPr="00EF2775" w:rsidRDefault="00EF2775">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3565" w:history="1">
            <w:r w:rsidRPr="00EF2775">
              <w:rPr>
                <w:rStyle w:val="Hyperlink"/>
                <w:rFonts w:ascii="Arial" w:hAnsi="Arial" w:cs="Arial"/>
                <w:noProof/>
              </w:rPr>
              <w:t>Key developments since last meeting</w:t>
            </w:r>
            <w:r w:rsidRPr="00EF2775">
              <w:rPr>
                <w:rFonts w:ascii="Arial" w:hAnsi="Arial" w:cs="Arial"/>
                <w:noProof/>
                <w:webHidden/>
              </w:rPr>
              <w:tab/>
            </w:r>
            <w:r w:rsidRPr="00EF2775">
              <w:rPr>
                <w:rFonts w:ascii="Arial" w:hAnsi="Arial" w:cs="Arial"/>
                <w:noProof/>
                <w:webHidden/>
              </w:rPr>
              <w:fldChar w:fldCharType="begin"/>
            </w:r>
            <w:r w:rsidRPr="00EF2775">
              <w:rPr>
                <w:rFonts w:ascii="Arial" w:hAnsi="Arial" w:cs="Arial"/>
                <w:noProof/>
                <w:webHidden/>
              </w:rPr>
              <w:instrText xml:space="preserve"> PAGEREF _Toc140483565 \h </w:instrText>
            </w:r>
            <w:r w:rsidRPr="00EF2775">
              <w:rPr>
                <w:rFonts w:ascii="Arial" w:hAnsi="Arial" w:cs="Arial"/>
                <w:noProof/>
                <w:webHidden/>
              </w:rPr>
            </w:r>
            <w:r w:rsidRPr="00EF2775">
              <w:rPr>
                <w:rFonts w:ascii="Arial" w:hAnsi="Arial" w:cs="Arial"/>
                <w:noProof/>
                <w:webHidden/>
              </w:rPr>
              <w:fldChar w:fldCharType="separate"/>
            </w:r>
            <w:r w:rsidRPr="00EF2775">
              <w:rPr>
                <w:rFonts w:ascii="Arial" w:hAnsi="Arial" w:cs="Arial"/>
                <w:noProof/>
                <w:webHidden/>
              </w:rPr>
              <w:t>15</w:t>
            </w:r>
            <w:r w:rsidRPr="00EF2775">
              <w:rPr>
                <w:rFonts w:ascii="Arial" w:hAnsi="Arial" w:cs="Arial"/>
                <w:noProof/>
                <w:webHidden/>
              </w:rPr>
              <w:fldChar w:fldCharType="end"/>
            </w:r>
          </w:hyperlink>
        </w:p>
        <w:p w:rsidR="00EF2775" w:rsidRPr="00EF2775" w:rsidRDefault="00EF2775">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3566" w:history="1">
            <w:r w:rsidRPr="00EF2775">
              <w:rPr>
                <w:rStyle w:val="Hyperlink"/>
                <w:rFonts w:ascii="Arial" w:hAnsi="Arial" w:cs="Arial"/>
                <w:noProof/>
              </w:rPr>
              <w:t>Successes</w:t>
            </w:r>
            <w:r w:rsidRPr="00EF2775">
              <w:rPr>
                <w:rFonts w:ascii="Arial" w:hAnsi="Arial" w:cs="Arial"/>
                <w:noProof/>
                <w:webHidden/>
              </w:rPr>
              <w:tab/>
            </w:r>
            <w:r w:rsidRPr="00EF2775">
              <w:rPr>
                <w:rFonts w:ascii="Arial" w:hAnsi="Arial" w:cs="Arial"/>
                <w:noProof/>
                <w:webHidden/>
              </w:rPr>
              <w:fldChar w:fldCharType="begin"/>
            </w:r>
            <w:r w:rsidRPr="00EF2775">
              <w:rPr>
                <w:rFonts w:ascii="Arial" w:hAnsi="Arial" w:cs="Arial"/>
                <w:noProof/>
                <w:webHidden/>
              </w:rPr>
              <w:instrText xml:space="preserve"> PAGEREF _Toc140483566 \h </w:instrText>
            </w:r>
            <w:r w:rsidRPr="00EF2775">
              <w:rPr>
                <w:rFonts w:ascii="Arial" w:hAnsi="Arial" w:cs="Arial"/>
                <w:noProof/>
                <w:webHidden/>
              </w:rPr>
            </w:r>
            <w:r w:rsidRPr="00EF2775">
              <w:rPr>
                <w:rFonts w:ascii="Arial" w:hAnsi="Arial" w:cs="Arial"/>
                <w:noProof/>
                <w:webHidden/>
              </w:rPr>
              <w:fldChar w:fldCharType="separate"/>
            </w:r>
            <w:r w:rsidRPr="00EF2775">
              <w:rPr>
                <w:rFonts w:ascii="Arial" w:hAnsi="Arial" w:cs="Arial"/>
                <w:noProof/>
                <w:webHidden/>
              </w:rPr>
              <w:t>16</w:t>
            </w:r>
            <w:r w:rsidRPr="00EF2775">
              <w:rPr>
                <w:rFonts w:ascii="Arial" w:hAnsi="Arial" w:cs="Arial"/>
                <w:noProof/>
                <w:webHidden/>
              </w:rPr>
              <w:fldChar w:fldCharType="end"/>
            </w:r>
          </w:hyperlink>
        </w:p>
        <w:p w:rsidR="00EF2775" w:rsidRPr="00EF2775" w:rsidRDefault="00EF2775">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3567" w:history="1">
            <w:r w:rsidRPr="00EF2775">
              <w:rPr>
                <w:rStyle w:val="Hyperlink"/>
                <w:rFonts w:ascii="Arial" w:hAnsi="Arial" w:cs="Arial"/>
                <w:noProof/>
              </w:rPr>
              <w:t>Challenges</w:t>
            </w:r>
            <w:r w:rsidRPr="00EF2775">
              <w:rPr>
                <w:rFonts w:ascii="Arial" w:hAnsi="Arial" w:cs="Arial"/>
                <w:noProof/>
                <w:webHidden/>
              </w:rPr>
              <w:tab/>
            </w:r>
            <w:r w:rsidRPr="00EF2775">
              <w:rPr>
                <w:rFonts w:ascii="Arial" w:hAnsi="Arial" w:cs="Arial"/>
                <w:noProof/>
                <w:webHidden/>
              </w:rPr>
              <w:fldChar w:fldCharType="begin"/>
            </w:r>
            <w:r w:rsidRPr="00EF2775">
              <w:rPr>
                <w:rFonts w:ascii="Arial" w:hAnsi="Arial" w:cs="Arial"/>
                <w:noProof/>
                <w:webHidden/>
              </w:rPr>
              <w:instrText xml:space="preserve"> PAGEREF _Toc140483567 \h </w:instrText>
            </w:r>
            <w:r w:rsidRPr="00EF2775">
              <w:rPr>
                <w:rFonts w:ascii="Arial" w:hAnsi="Arial" w:cs="Arial"/>
                <w:noProof/>
                <w:webHidden/>
              </w:rPr>
            </w:r>
            <w:r w:rsidRPr="00EF2775">
              <w:rPr>
                <w:rFonts w:ascii="Arial" w:hAnsi="Arial" w:cs="Arial"/>
                <w:noProof/>
                <w:webHidden/>
              </w:rPr>
              <w:fldChar w:fldCharType="separate"/>
            </w:r>
            <w:r w:rsidRPr="00EF2775">
              <w:rPr>
                <w:rFonts w:ascii="Arial" w:hAnsi="Arial" w:cs="Arial"/>
                <w:noProof/>
                <w:webHidden/>
              </w:rPr>
              <w:t>16</w:t>
            </w:r>
            <w:r w:rsidRPr="00EF2775">
              <w:rPr>
                <w:rFonts w:ascii="Arial" w:hAnsi="Arial" w:cs="Arial"/>
                <w:noProof/>
                <w:webHidden/>
              </w:rPr>
              <w:fldChar w:fldCharType="end"/>
            </w:r>
          </w:hyperlink>
        </w:p>
        <w:p w:rsidR="00EF2775" w:rsidRPr="00EF2775" w:rsidRDefault="00EF2775">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3568" w:history="1">
            <w:r w:rsidRPr="00EF2775">
              <w:rPr>
                <w:rStyle w:val="Hyperlink"/>
                <w:rFonts w:ascii="Arial" w:hAnsi="Arial" w:cs="Arial"/>
                <w:noProof/>
              </w:rPr>
              <w:t>Risks</w:t>
            </w:r>
            <w:r w:rsidRPr="00EF2775">
              <w:rPr>
                <w:rFonts w:ascii="Arial" w:hAnsi="Arial" w:cs="Arial"/>
                <w:noProof/>
                <w:webHidden/>
              </w:rPr>
              <w:tab/>
            </w:r>
            <w:r w:rsidRPr="00EF2775">
              <w:rPr>
                <w:rFonts w:ascii="Arial" w:hAnsi="Arial" w:cs="Arial"/>
                <w:noProof/>
                <w:webHidden/>
              </w:rPr>
              <w:fldChar w:fldCharType="begin"/>
            </w:r>
            <w:r w:rsidRPr="00EF2775">
              <w:rPr>
                <w:rFonts w:ascii="Arial" w:hAnsi="Arial" w:cs="Arial"/>
                <w:noProof/>
                <w:webHidden/>
              </w:rPr>
              <w:instrText xml:space="preserve"> PAGEREF _Toc140483568 \h </w:instrText>
            </w:r>
            <w:r w:rsidRPr="00EF2775">
              <w:rPr>
                <w:rFonts w:ascii="Arial" w:hAnsi="Arial" w:cs="Arial"/>
                <w:noProof/>
                <w:webHidden/>
              </w:rPr>
            </w:r>
            <w:r w:rsidRPr="00EF2775">
              <w:rPr>
                <w:rFonts w:ascii="Arial" w:hAnsi="Arial" w:cs="Arial"/>
                <w:noProof/>
                <w:webHidden/>
              </w:rPr>
              <w:fldChar w:fldCharType="separate"/>
            </w:r>
            <w:r w:rsidRPr="00EF2775">
              <w:rPr>
                <w:rFonts w:ascii="Arial" w:hAnsi="Arial" w:cs="Arial"/>
                <w:noProof/>
                <w:webHidden/>
              </w:rPr>
              <w:t>16</w:t>
            </w:r>
            <w:r w:rsidRPr="00EF2775">
              <w:rPr>
                <w:rFonts w:ascii="Arial" w:hAnsi="Arial" w:cs="Arial"/>
                <w:noProof/>
                <w:webHidden/>
              </w:rPr>
              <w:fldChar w:fldCharType="end"/>
            </w:r>
          </w:hyperlink>
        </w:p>
        <w:p w:rsidR="00EF2775" w:rsidRPr="00EF2775" w:rsidRDefault="00EF2775">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483569" w:history="1">
            <w:r w:rsidRPr="00EF2775">
              <w:rPr>
                <w:rStyle w:val="Hyperlink"/>
                <w:rFonts w:ascii="Arial" w:hAnsi="Arial" w:cs="Arial"/>
                <w:noProof/>
              </w:rPr>
              <w:t>Success Factor: Supportive and Engaged Legislative and Policy Ecosystem and Community of Data Users</w:t>
            </w:r>
            <w:r w:rsidRPr="00EF2775">
              <w:rPr>
                <w:rFonts w:ascii="Arial" w:hAnsi="Arial" w:cs="Arial"/>
                <w:noProof/>
                <w:webHidden/>
              </w:rPr>
              <w:tab/>
            </w:r>
            <w:r w:rsidRPr="00EF2775">
              <w:rPr>
                <w:rFonts w:ascii="Arial" w:hAnsi="Arial" w:cs="Arial"/>
                <w:noProof/>
                <w:webHidden/>
              </w:rPr>
              <w:fldChar w:fldCharType="begin"/>
            </w:r>
            <w:r w:rsidRPr="00EF2775">
              <w:rPr>
                <w:rFonts w:ascii="Arial" w:hAnsi="Arial" w:cs="Arial"/>
                <w:noProof/>
                <w:webHidden/>
              </w:rPr>
              <w:instrText xml:space="preserve"> PAGEREF _Toc140483569 \h </w:instrText>
            </w:r>
            <w:r w:rsidRPr="00EF2775">
              <w:rPr>
                <w:rFonts w:ascii="Arial" w:hAnsi="Arial" w:cs="Arial"/>
                <w:noProof/>
                <w:webHidden/>
              </w:rPr>
            </w:r>
            <w:r w:rsidRPr="00EF2775">
              <w:rPr>
                <w:rFonts w:ascii="Arial" w:hAnsi="Arial" w:cs="Arial"/>
                <w:noProof/>
                <w:webHidden/>
              </w:rPr>
              <w:fldChar w:fldCharType="separate"/>
            </w:r>
            <w:r w:rsidRPr="00EF2775">
              <w:rPr>
                <w:rFonts w:ascii="Arial" w:hAnsi="Arial" w:cs="Arial"/>
                <w:noProof/>
                <w:webHidden/>
              </w:rPr>
              <w:t>16</w:t>
            </w:r>
            <w:r w:rsidRPr="00EF2775">
              <w:rPr>
                <w:rFonts w:ascii="Arial" w:hAnsi="Arial" w:cs="Arial"/>
                <w:noProof/>
                <w:webHidden/>
              </w:rPr>
              <w:fldChar w:fldCharType="end"/>
            </w:r>
          </w:hyperlink>
        </w:p>
        <w:p w:rsidR="00EF2775" w:rsidRPr="00EF2775" w:rsidRDefault="00EF2775">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3570" w:history="1">
            <w:r w:rsidRPr="00EF2775">
              <w:rPr>
                <w:rStyle w:val="Hyperlink"/>
                <w:rFonts w:ascii="Arial" w:hAnsi="Arial" w:cs="Arial"/>
                <w:noProof/>
              </w:rPr>
              <w:t>Key developments and successes since last meeting</w:t>
            </w:r>
            <w:r w:rsidRPr="00EF2775">
              <w:rPr>
                <w:rFonts w:ascii="Arial" w:hAnsi="Arial" w:cs="Arial"/>
                <w:noProof/>
                <w:webHidden/>
              </w:rPr>
              <w:tab/>
            </w:r>
            <w:r w:rsidRPr="00EF2775">
              <w:rPr>
                <w:rFonts w:ascii="Arial" w:hAnsi="Arial" w:cs="Arial"/>
                <w:noProof/>
                <w:webHidden/>
              </w:rPr>
              <w:fldChar w:fldCharType="begin"/>
            </w:r>
            <w:r w:rsidRPr="00EF2775">
              <w:rPr>
                <w:rFonts w:ascii="Arial" w:hAnsi="Arial" w:cs="Arial"/>
                <w:noProof/>
                <w:webHidden/>
              </w:rPr>
              <w:instrText xml:space="preserve"> PAGEREF _Toc140483570 \h </w:instrText>
            </w:r>
            <w:r w:rsidRPr="00EF2775">
              <w:rPr>
                <w:rFonts w:ascii="Arial" w:hAnsi="Arial" w:cs="Arial"/>
                <w:noProof/>
                <w:webHidden/>
              </w:rPr>
            </w:r>
            <w:r w:rsidRPr="00EF2775">
              <w:rPr>
                <w:rFonts w:ascii="Arial" w:hAnsi="Arial" w:cs="Arial"/>
                <w:noProof/>
                <w:webHidden/>
              </w:rPr>
              <w:fldChar w:fldCharType="separate"/>
            </w:r>
            <w:r w:rsidRPr="00EF2775">
              <w:rPr>
                <w:rFonts w:ascii="Arial" w:hAnsi="Arial" w:cs="Arial"/>
                <w:noProof/>
                <w:webHidden/>
              </w:rPr>
              <w:t>16</w:t>
            </w:r>
            <w:r w:rsidRPr="00EF2775">
              <w:rPr>
                <w:rFonts w:ascii="Arial" w:hAnsi="Arial" w:cs="Arial"/>
                <w:noProof/>
                <w:webHidden/>
              </w:rPr>
              <w:fldChar w:fldCharType="end"/>
            </w:r>
          </w:hyperlink>
        </w:p>
        <w:p w:rsidR="00EF2775" w:rsidRPr="00EF2775" w:rsidRDefault="00EF2775">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3571" w:history="1">
            <w:r w:rsidRPr="00EF2775">
              <w:rPr>
                <w:rStyle w:val="Hyperlink"/>
                <w:rFonts w:ascii="Arial" w:hAnsi="Arial" w:cs="Arial"/>
                <w:noProof/>
              </w:rPr>
              <w:t>Challenges and Risks</w:t>
            </w:r>
            <w:r w:rsidRPr="00EF2775">
              <w:rPr>
                <w:rFonts w:ascii="Arial" w:hAnsi="Arial" w:cs="Arial"/>
                <w:noProof/>
                <w:webHidden/>
              </w:rPr>
              <w:tab/>
            </w:r>
            <w:r w:rsidRPr="00EF2775">
              <w:rPr>
                <w:rFonts w:ascii="Arial" w:hAnsi="Arial" w:cs="Arial"/>
                <w:noProof/>
                <w:webHidden/>
              </w:rPr>
              <w:fldChar w:fldCharType="begin"/>
            </w:r>
            <w:r w:rsidRPr="00EF2775">
              <w:rPr>
                <w:rFonts w:ascii="Arial" w:hAnsi="Arial" w:cs="Arial"/>
                <w:noProof/>
                <w:webHidden/>
              </w:rPr>
              <w:instrText xml:space="preserve"> PAGEREF _Toc140483571 \h </w:instrText>
            </w:r>
            <w:r w:rsidRPr="00EF2775">
              <w:rPr>
                <w:rFonts w:ascii="Arial" w:hAnsi="Arial" w:cs="Arial"/>
                <w:noProof/>
                <w:webHidden/>
              </w:rPr>
            </w:r>
            <w:r w:rsidRPr="00EF2775">
              <w:rPr>
                <w:rFonts w:ascii="Arial" w:hAnsi="Arial" w:cs="Arial"/>
                <w:noProof/>
                <w:webHidden/>
              </w:rPr>
              <w:fldChar w:fldCharType="separate"/>
            </w:r>
            <w:r w:rsidRPr="00EF2775">
              <w:rPr>
                <w:rFonts w:ascii="Arial" w:hAnsi="Arial" w:cs="Arial"/>
                <w:noProof/>
                <w:webHidden/>
              </w:rPr>
              <w:t>16</w:t>
            </w:r>
            <w:r w:rsidRPr="00EF2775">
              <w:rPr>
                <w:rFonts w:ascii="Arial" w:hAnsi="Arial" w:cs="Arial"/>
                <w:noProof/>
                <w:webHidden/>
              </w:rPr>
              <w:fldChar w:fldCharType="end"/>
            </w:r>
          </w:hyperlink>
        </w:p>
        <w:p w:rsidR="00DF021C" w:rsidRPr="004A0518" w:rsidRDefault="00DF021C" w:rsidP="004A0518">
          <w:pPr>
            <w:spacing w:line="276" w:lineRule="auto"/>
            <w:rPr>
              <w:b/>
              <w:bCs/>
              <w:szCs w:val="24"/>
            </w:rPr>
          </w:pPr>
          <w:r w:rsidRPr="00EF2775">
            <w:rPr>
              <w:rFonts w:cs="Arial"/>
              <w:noProof/>
              <w:szCs w:val="24"/>
            </w:rPr>
            <w:fldChar w:fldCharType="end"/>
          </w:r>
        </w:p>
      </w:sdtContent>
    </w:sdt>
    <w:p w:rsidR="00DF021C" w:rsidRDefault="00DF021C">
      <w:pPr>
        <w:spacing w:after="0" w:line="240" w:lineRule="auto"/>
        <w:rPr>
          <w:rFonts w:ascii="Lato" w:eastAsia="Times New Roman" w:hAnsi="Lato" w:cstheme="majorBidi"/>
          <w:b/>
          <w:color w:val="006A78"/>
          <w:szCs w:val="26"/>
        </w:rPr>
      </w:pPr>
      <w:r>
        <w:rPr>
          <w:rFonts w:eastAsia="Times New Roman"/>
        </w:rPr>
        <w:br w:type="page"/>
      </w:r>
    </w:p>
    <w:p w:rsidR="00707EB3" w:rsidRPr="00937003" w:rsidRDefault="00825DC9" w:rsidP="00707EB3">
      <w:r w:rsidRPr="00825DC9">
        <w:rPr>
          <w:b/>
          <w:bCs/>
        </w:rPr>
        <w:lastRenderedPageBreak/>
        <w:t>Overview:</w:t>
      </w:r>
      <w:r>
        <w:t xml:space="preserve"> </w:t>
      </w:r>
      <w:r w:rsidR="00EF2775" w:rsidRPr="00EF2775">
        <w:t>The first section of this report highlights major initiatives and accomplishments since the last Board meeting in February 2022, major new milestones for the coming quarter, and anticipated challenges. Following this overview, the remainder of the document offers additional details on areas of significant investment and / or importance to HDRN Canada’s mission.</w:t>
      </w:r>
      <w:r w:rsidR="00EF2775">
        <w:rPr>
          <w:rFonts w:ascii="Helvetica Neue" w:eastAsia="Helvetica Neue" w:hAnsi="Helvetica Neue" w:cs="Helvetica Neue"/>
          <w:color w:val="006A78"/>
          <w:sz w:val="20"/>
          <w:szCs w:val="20"/>
        </w:rPr>
        <w:t> </w:t>
      </w:r>
    </w:p>
    <w:p w:rsidR="00707EB3" w:rsidRPr="00937003" w:rsidRDefault="00825DC9" w:rsidP="00707EB3">
      <w:pPr>
        <w:pStyle w:val="Heading1"/>
        <w:rPr>
          <w:b w:val="0"/>
          <w:bCs/>
        </w:rPr>
      </w:pPr>
      <w:bookmarkStart w:id="0" w:name="_Toc140483534"/>
      <w:r>
        <w:t xml:space="preserve">Section 1: </w:t>
      </w:r>
      <w:r w:rsidR="00707EB3">
        <w:t>High</w:t>
      </w:r>
      <w:r w:rsidR="00EF2775">
        <w:t xml:space="preserve"> Level Progress Update</w:t>
      </w:r>
      <w:bookmarkEnd w:id="0"/>
    </w:p>
    <w:p w:rsidR="00707EB3" w:rsidRPr="00707EB3" w:rsidRDefault="00707EB3" w:rsidP="00707EB3">
      <w:pPr>
        <w:pStyle w:val="Heading3"/>
      </w:pPr>
      <w:bookmarkStart w:id="1" w:name="_Toc140483535"/>
      <w:r w:rsidRPr="00707EB3">
        <w:t>Key progress since the last board meeting:</w:t>
      </w:r>
      <w:bookmarkEnd w:id="1"/>
    </w:p>
    <w:p w:rsidR="00EF2775" w:rsidRPr="00EF2775" w:rsidRDefault="00EF2775" w:rsidP="00EF2775">
      <w:pPr>
        <w:pStyle w:val="ListParagraph"/>
        <w:numPr>
          <w:ilvl w:val="0"/>
          <w:numId w:val="109"/>
        </w:numPr>
      </w:pPr>
      <w:r>
        <w:t>The HDRN Canada Blog, “Inside HDRN Canada: Notes from Across the Network” was launched.</w:t>
      </w:r>
      <w:r>
        <w:t xml:space="preserve"> </w:t>
      </w:r>
      <w:r>
        <w:t>The Blog is a key resource for HDRN Canada to let stakeholder and the public know about ongoing work of the network in a less formal way than the “News” section of the HDRN Canada website.</w:t>
      </w:r>
    </w:p>
    <w:p w:rsidR="00EF2775" w:rsidRPr="00EF2775" w:rsidRDefault="00EF2775" w:rsidP="00EF2775">
      <w:pPr>
        <w:pStyle w:val="ListParagraph"/>
        <w:numPr>
          <w:ilvl w:val="0"/>
          <w:numId w:val="109"/>
        </w:numPr>
      </w:pPr>
      <w:r>
        <w:t xml:space="preserve">The IDT and IDEA Team’s joint “Data for Equity?” newsletter has been edited and translated and has been released. An additional space has been added to the HDRN website where resources and registration for the newsletter are available. The first newsletter issue is available </w:t>
      </w:r>
      <w:hyperlink r:id="rId9" w:tooltip="Read the first HDRN newsletter">
        <w:r w:rsidRPr="00EF2775">
          <w:rPr>
            <w:color w:val="0000FF"/>
            <w:u w:val="single"/>
          </w:rPr>
          <w:t>here</w:t>
        </w:r>
      </w:hyperlink>
      <w:r>
        <w:t>.</w:t>
      </w:r>
    </w:p>
    <w:p w:rsidR="00EF2775" w:rsidRPr="00EF2775" w:rsidRDefault="00EF2775" w:rsidP="00EF2775">
      <w:pPr>
        <w:pStyle w:val="ListParagraph"/>
        <w:numPr>
          <w:ilvl w:val="0"/>
          <w:numId w:val="109"/>
        </w:numPr>
        <w:rPr>
          <w:b/>
        </w:rPr>
      </w:pPr>
      <w:r>
        <w:t>The DASH has completed a data request, meaning the research team has received all requested data.</w:t>
      </w:r>
    </w:p>
    <w:p w:rsidR="00707EB3" w:rsidRPr="00F7554F" w:rsidRDefault="00707EB3" w:rsidP="00707EB3">
      <w:pPr>
        <w:pStyle w:val="Heading3"/>
      </w:pPr>
      <w:bookmarkStart w:id="2" w:name="_Toc140483536"/>
      <w:r w:rsidRPr="00F7554F">
        <w:t>Major milestones for coming quarter</w:t>
      </w:r>
      <w:bookmarkEnd w:id="2"/>
    </w:p>
    <w:p w:rsidR="00EF2775" w:rsidRPr="00EF2775" w:rsidRDefault="00EF2775" w:rsidP="00EF2775">
      <w:pPr>
        <w:pStyle w:val="ListParagraph"/>
        <w:numPr>
          <w:ilvl w:val="0"/>
          <w:numId w:val="110"/>
        </w:numPr>
        <w:ind w:left="360"/>
      </w:pPr>
      <w:r>
        <w:t>HDRN Canada is required by CIHR to conduct two external evaluations over the course of the Canadian Data Platform grant period. The first, a formative evaluation, is to be completed by March 31, 2023. The second, a summative evaluation, will be due by March 31, 2026. A request for proposals has been developed for the formative evaluation and the search for external individuals or companies to conduct the evaluation will be launched by the time of the Board meeting. </w:t>
      </w:r>
    </w:p>
    <w:p w:rsidR="00EF2775" w:rsidRDefault="00EF2775" w:rsidP="00EF2775">
      <w:pPr>
        <w:pStyle w:val="ListParagraph"/>
        <w:numPr>
          <w:ilvl w:val="0"/>
          <w:numId w:val="110"/>
        </w:numPr>
        <w:ind w:left="360"/>
      </w:pPr>
      <w:r>
        <w:t>HDRN Canada’s 18-month report to CIHR is due on July 18</w:t>
      </w:r>
      <w:r w:rsidRPr="00EF2775">
        <w:rPr>
          <w:vertAlign w:val="superscript"/>
        </w:rPr>
        <w:t>th</w:t>
      </w:r>
      <w:r>
        <w:t>. The report covers the period from October 1, 2020, to March 31, 2022. An overview of the draft report will be shared with the Board at the May 17 Board meeting, with a decision then about when the draft will be shared.</w:t>
      </w:r>
    </w:p>
    <w:p w:rsidR="00707EB3" w:rsidRPr="00F7554F" w:rsidRDefault="00707EB3" w:rsidP="00707EB3">
      <w:pPr>
        <w:pStyle w:val="Heading3"/>
      </w:pPr>
      <w:bookmarkStart w:id="3" w:name="_Toc140483537"/>
      <w:r w:rsidRPr="00F7554F">
        <w:lastRenderedPageBreak/>
        <w:t>Anticipated and ongoing challenges</w:t>
      </w:r>
      <w:bookmarkEnd w:id="3"/>
    </w:p>
    <w:p w:rsidR="00707EB3" w:rsidRDefault="00EF2775" w:rsidP="00707EB3">
      <w:pPr>
        <w:pStyle w:val="ListParagraph"/>
        <w:numPr>
          <w:ilvl w:val="0"/>
          <w:numId w:val="79"/>
        </w:numPr>
      </w:pPr>
      <w:r>
        <w:t>Overall, and across many teams, there are tensions between long-term ambitions and short-term aspirations to ensure we are responding to current needs of our stakeholders. These tensions do not represent difference of opinion about our mission or objectives, but acknowledge that responding to current needs may mean that it will take longer to get to the ultimate goal. This requires good communication (including internal) not just about what we are doing but also why and how.</w:t>
      </w:r>
    </w:p>
    <w:tbl>
      <w:tblPr>
        <w:tblStyle w:val="TableGrid"/>
        <w:tblpPr w:leftFromText="180" w:rightFromText="180" w:vertAnchor="text" w:horzAnchor="margin" w:tblpY="1009"/>
        <w:tblW w:w="0" w:type="auto"/>
        <w:tblLook w:val="04A0" w:firstRow="1" w:lastRow="0" w:firstColumn="1" w:lastColumn="0" w:noHBand="0" w:noVBand="1"/>
      </w:tblPr>
      <w:tblGrid>
        <w:gridCol w:w="3181"/>
        <w:gridCol w:w="3044"/>
        <w:gridCol w:w="3845"/>
      </w:tblGrid>
      <w:tr w:rsidR="00707EB3" w:rsidRPr="00937003" w:rsidTr="00707EB3">
        <w:trPr>
          <w:trHeight w:val="699"/>
        </w:trPr>
        <w:tc>
          <w:tcPr>
            <w:tcW w:w="0" w:type="auto"/>
            <w:shd w:val="clear" w:color="auto" w:fill="006A78"/>
            <w:vAlign w:val="center"/>
          </w:tcPr>
          <w:p w:rsidR="00707EB3" w:rsidRPr="00707EB3" w:rsidRDefault="00707EB3" w:rsidP="00707EB3">
            <w:pPr>
              <w:pStyle w:val="NoSpacing"/>
              <w:rPr>
                <w:rFonts w:ascii="Lato" w:hAnsi="Lato" w:cstheme="minorHAnsi"/>
                <w:b/>
                <w:bCs/>
                <w:color w:val="FFFFFF" w:themeColor="background1"/>
                <w:spacing w:val="-1"/>
              </w:rPr>
            </w:pPr>
            <w:r w:rsidRPr="00707EB3">
              <w:rPr>
                <w:rFonts w:ascii="Lato" w:hAnsi="Lato" w:cstheme="minorHAnsi"/>
                <w:b/>
                <w:bCs/>
                <w:color w:val="FFFFFF" w:themeColor="background1"/>
                <w:spacing w:val="-1"/>
              </w:rPr>
              <w:t>Strategic Goal</w:t>
            </w:r>
          </w:p>
        </w:tc>
        <w:tc>
          <w:tcPr>
            <w:tcW w:w="0" w:type="auto"/>
            <w:shd w:val="clear" w:color="auto" w:fill="006A78"/>
            <w:vAlign w:val="center"/>
          </w:tcPr>
          <w:p w:rsidR="00707EB3" w:rsidRPr="00707EB3" w:rsidRDefault="00707EB3" w:rsidP="00707EB3">
            <w:pPr>
              <w:pStyle w:val="NoSpacing"/>
              <w:rPr>
                <w:rFonts w:ascii="Lato" w:hAnsi="Lato" w:cstheme="minorHAnsi"/>
                <w:b/>
                <w:bCs/>
                <w:color w:val="FFFFFF" w:themeColor="background1"/>
                <w:spacing w:val="-1"/>
              </w:rPr>
            </w:pPr>
            <w:r w:rsidRPr="00707EB3">
              <w:rPr>
                <w:rFonts w:ascii="Lato" w:hAnsi="Lato" w:cstheme="minorHAnsi"/>
                <w:b/>
                <w:bCs/>
                <w:color w:val="FFFFFF" w:themeColor="background1"/>
                <w:spacing w:val="-1"/>
              </w:rPr>
              <w:t>Indicator</w:t>
            </w:r>
          </w:p>
        </w:tc>
        <w:tc>
          <w:tcPr>
            <w:tcW w:w="0" w:type="auto"/>
            <w:shd w:val="clear" w:color="auto" w:fill="006A78"/>
            <w:vAlign w:val="center"/>
          </w:tcPr>
          <w:p w:rsidR="00707EB3" w:rsidRPr="00707EB3" w:rsidRDefault="00707EB3" w:rsidP="00707EB3">
            <w:pPr>
              <w:pStyle w:val="NoSpacing"/>
              <w:rPr>
                <w:rFonts w:ascii="Lato" w:hAnsi="Lato" w:cstheme="minorHAnsi"/>
                <w:b/>
                <w:bCs/>
                <w:color w:val="FFFFFF" w:themeColor="background1"/>
                <w:spacing w:val="-1"/>
              </w:rPr>
            </w:pPr>
            <w:r w:rsidRPr="00707EB3">
              <w:rPr>
                <w:rFonts w:ascii="Lato" w:hAnsi="Lato" w:cstheme="minorHAnsi"/>
                <w:b/>
                <w:bCs/>
                <w:color w:val="FFFFFF" w:themeColor="background1"/>
                <w:spacing w:val="-1"/>
              </w:rPr>
              <w:t>Number</w:t>
            </w:r>
          </w:p>
        </w:tc>
      </w:tr>
      <w:tr w:rsidR="00707EB3" w:rsidRPr="00937003" w:rsidTr="00707EB3">
        <w:trPr>
          <w:trHeight w:val="527"/>
        </w:trPr>
        <w:tc>
          <w:tcPr>
            <w:tcW w:w="0" w:type="auto"/>
            <w:vMerge w:val="restart"/>
          </w:tcPr>
          <w:p w:rsidR="00707EB3" w:rsidRPr="00707EB3" w:rsidRDefault="00707EB3" w:rsidP="00707EB3">
            <w:pPr>
              <w:pStyle w:val="NoSpacing"/>
              <w:spacing w:line="276" w:lineRule="auto"/>
              <w:rPr>
                <w:rFonts w:cs="Arial"/>
                <w:b/>
                <w:spacing w:val="-1"/>
              </w:rPr>
            </w:pPr>
            <w:r w:rsidRPr="00707EB3">
              <w:rPr>
                <w:rFonts w:cs="Arial"/>
                <w:spacing w:val="-1"/>
              </w:rPr>
              <w:t>Develop and Improve Services and Supports for Data Access</w:t>
            </w:r>
          </w:p>
        </w:tc>
        <w:tc>
          <w:tcPr>
            <w:tcW w:w="0" w:type="auto"/>
          </w:tcPr>
          <w:p w:rsidR="00707EB3" w:rsidRPr="00707EB3" w:rsidRDefault="00707EB3" w:rsidP="00707EB3">
            <w:pPr>
              <w:pStyle w:val="NoSpacing"/>
              <w:spacing w:line="276" w:lineRule="auto"/>
              <w:rPr>
                <w:rFonts w:cs="Arial"/>
                <w:b/>
                <w:spacing w:val="-1"/>
              </w:rPr>
            </w:pPr>
            <w:r w:rsidRPr="00707EB3">
              <w:rPr>
                <w:rFonts w:cs="Arial"/>
                <w:spacing w:val="-1"/>
              </w:rPr>
              <w:t># of visits to the DASH website</w:t>
            </w:r>
          </w:p>
        </w:tc>
        <w:tc>
          <w:tcPr>
            <w:tcW w:w="0" w:type="auto"/>
          </w:tcPr>
          <w:p w:rsidR="00707EB3" w:rsidRPr="00707EB3" w:rsidRDefault="00EF2775" w:rsidP="00707EB3">
            <w:pPr>
              <w:pStyle w:val="NoSpacing"/>
              <w:spacing w:line="276" w:lineRule="auto"/>
              <w:rPr>
                <w:rFonts w:cs="Arial"/>
                <w:b/>
                <w:spacing w:val="-1"/>
              </w:rPr>
            </w:pPr>
            <w:r w:rsidRPr="00EF2775">
              <w:rPr>
                <w:rFonts w:cs="Arial"/>
                <w:spacing w:val="-1"/>
                <w:lang w:val="en-CA"/>
              </w:rPr>
              <w:t>Total unique visitors from Feb 1, 2022 – March 31, 2022: 500</w:t>
            </w:r>
            <w:r w:rsidRPr="00EF2775">
              <w:rPr>
                <w:rFonts w:cs="Arial"/>
                <w:b/>
                <w:spacing w:val="-1"/>
                <w:lang w:val="en-CA"/>
              </w:rPr>
              <w:br/>
            </w:r>
            <w:r w:rsidRPr="00EF2775">
              <w:rPr>
                <w:rFonts w:cs="Arial"/>
                <w:spacing w:val="-1"/>
                <w:lang w:val="en-CA"/>
              </w:rPr>
              <w:t>Monthly average: 250</w:t>
            </w:r>
          </w:p>
        </w:tc>
      </w:tr>
      <w:tr w:rsidR="00707EB3" w:rsidRPr="00937003" w:rsidTr="00707EB3">
        <w:tc>
          <w:tcPr>
            <w:tcW w:w="0" w:type="auto"/>
            <w:vMerge/>
          </w:tcPr>
          <w:p w:rsidR="00707EB3" w:rsidRPr="00707EB3" w:rsidRDefault="00707EB3" w:rsidP="00707EB3">
            <w:pPr>
              <w:pStyle w:val="NoSpacing"/>
              <w:spacing w:line="276" w:lineRule="auto"/>
              <w:rPr>
                <w:rFonts w:cs="Arial"/>
                <w:b/>
                <w:spacing w:val="-1"/>
              </w:rPr>
            </w:pPr>
          </w:p>
        </w:tc>
        <w:tc>
          <w:tcPr>
            <w:tcW w:w="0" w:type="auto"/>
          </w:tcPr>
          <w:p w:rsidR="00707EB3" w:rsidRPr="00707EB3" w:rsidRDefault="00707EB3" w:rsidP="00707EB3">
            <w:pPr>
              <w:pStyle w:val="NoSpacing"/>
              <w:spacing w:line="276" w:lineRule="auto"/>
              <w:rPr>
                <w:rFonts w:cs="Arial"/>
                <w:b/>
                <w:spacing w:val="-1"/>
              </w:rPr>
            </w:pPr>
            <w:r w:rsidRPr="00707EB3">
              <w:rPr>
                <w:rFonts w:cs="Arial"/>
                <w:spacing w:val="-1"/>
              </w:rPr>
              <w:t># of visits to the Dataset Inventory website</w:t>
            </w:r>
          </w:p>
        </w:tc>
        <w:tc>
          <w:tcPr>
            <w:tcW w:w="0" w:type="auto"/>
          </w:tcPr>
          <w:p w:rsidR="00707EB3" w:rsidRPr="00707EB3" w:rsidRDefault="00EF2775" w:rsidP="00707EB3">
            <w:pPr>
              <w:pStyle w:val="NoSpacing"/>
              <w:spacing w:line="276" w:lineRule="auto"/>
              <w:rPr>
                <w:rFonts w:cs="Arial"/>
                <w:b/>
                <w:spacing w:val="-1"/>
              </w:rPr>
            </w:pPr>
            <w:r w:rsidRPr="00EF2775">
              <w:rPr>
                <w:rFonts w:cs="Arial"/>
                <w:spacing w:val="-1"/>
                <w:lang w:val="en-CA"/>
              </w:rPr>
              <w:t>Total unique visitors from Feb 1, 2022– March 31, 2022: 404</w:t>
            </w:r>
            <w:r w:rsidRPr="00EF2775">
              <w:rPr>
                <w:rFonts w:cs="Arial"/>
                <w:spacing w:val="-1"/>
                <w:lang w:val="en-CA"/>
              </w:rPr>
              <w:br/>
              <w:t>Monthly average visitors: 202</w:t>
            </w:r>
          </w:p>
        </w:tc>
      </w:tr>
      <w:tr w:rsidR="00707EB3" w:rsidRPr="00937003" w:rsidTr="00707EB3">
        <w:tc>
          <w:tcPr>
            <w:tcW w:w="0" w:type="auto"/>
            <w:vMerge/>
          </w:tcPr>
          <w:p w:rsidR="00707EB3" w:rsidRPr="00707EB3" w:rsidRDefault="00707EB3" w:rsidP="00707EB3">
            <w:pPr>
              <w:pStyle w:val="NoSpacing"/>
              <w:spacing w:line="276" w:lineRule="auto"/>
              <w:rPr>
                <w:rFonts w:cs="Arial"/>
                <w:b/>
                <w:spacing w:val="-1"/>
              </w:rPr>
            </w:pPr>
          </w:p>
        </w:tc>
        <w:tc>
          <w:tcPr>
            <w:tcW w:w="0" w:type="auto"/>
          </w:tcPr>
          <w:p w:rsidR="00707EB3" w:rsidRPr="00707EB3" w:rsidRDefault="00707EB3" w:rsidP="00707EB3">
            <w:pPr>
              <w:pStyle w:val="NoSpacing"/>
              <w:spacing w:line="276" w:lineRule="auto"/>
              <w:rPr>
                <w:rFonts w:cs="Arial"/>
                <w:b/>
                <w:spacing w:val="-1"/>
              </w:rPr>
            </w:pPr>
            <w:r w:rsidRPr="00707EB3">
              <w:rPr>
                <w:rFonts w:cs="Arial"/>
                <w:spacing w:val="-1"/>
              </w:rPr>
              <w:t xml:space="preserve"># of intake forms received to date and since the last Board meeting </w:t>
            </w:r>
          </w:p>
        </w:tc>
        <w:tc>
          <w:tcPr>
            <w:tcW w:w="0" w:type="auto"/>
          </w:tcPr>
          <w:p w:rsidR="00707EB3" w:rsidRPr="00707EB3" w:rsidRDefault="00EF2775" w:rsidP="00707EB3">
            <w:pPr>
              <w:pStyle w:val="NoSpacing"/>
              <w:spacing w:line="276" w:lineRule="auto"/>
              <w:rPr>
                <w:rFonts w:cs="Arial"/>
                <w:b/>
                <w:spacing w:val="-1"/>
              </w:rPr>
            </w:pPr>
            <w:r w:rsidRPr="00EF2775">
              <w:rPr>
                <w:rFonts w:cs="Arial"/>
                <w:spacing w:val="-1"/>
                <w:lang w:val="en-CA"/>
              </w:rPr>
              <w:t>77 intake forms received to date, 2 of which were received since Feb 22, 2022</w:t>
            </w:r>
          </w:p>
        </w:tc>
      </w:tr>
      <w:tr w:rsidR="00707EB3" w:rsidRPr="00937003" w:rsidTr="00707EB3">
        <w:tc>
          <w:tcPr>
            <w:tcW w:w="0" w:type="auto"/>
            <w:vMerge/>
          </w:tcPr>
          <w:p w:rsidR="00707EB3" w:rsidRPr="00707EB3" w:rsidRDefault="00707EB3" w:rsidP="00707EB3">
            <w:pPr>
              <w:pStyle w:val="NoSpacing"/>
              <w:spacing w:line="276" w:lineRule="auto"/>
              <w:rPr>
                <w:rFonts w:cs="Arial"/>
                <w:b/>
                <w:spacing w:val="-1"/>
              </w:rPr>
            </w:pPr>
          </w:p>
        </w:tc>
        <w:tc>
          <w:tcPr>
            <w:tcW w:w="0" w:type="auto"/>
          </w:tcPr>
          <w:p w:rsidR="00707EB3" w:rsidRPr="00707EB3" w:rsidRDefault="00707EB3" w:rsidP="00707EB3">
            <w:pPr>
              <w:pStyle w:val="NoSpacing"/>
              <w:spacing w:line="276" w:lineRule="auto"/>
              <w:rPr>
                <w:rFonts w:cs="Arial"/>
                <w:b/>
                <w:spacing w:val="-1"/>
              </w:rPr>
            </w:pPr>
            <w:r w:rsidRPr="00707EB3">
              <w:rPr>
                <w:rFonts w:cs="Arial"/>
                <w:spacing w:val="-1"/>
              </w:rPr>
              <w:t xml:space="preserve"># of data access request forms received to date and since the last Board meeting </w:t>
            </w:r>
          </w:p>
        </w:tc>
        <w:tc>
          <w:tcPr>
            <w:tcW w:w="0" w:type="auto"/>
          </w:tcPr>
          <w:p w:rsidR="00707EB3" w:rsidRPr="00707EB3" w:rsidRDefault="00EF2775" w:rsidP="00707EB3">
            <w:pPr>
              <w:pStyle w:val="NoSpacing"/>
              <w:spacing w:line="276" w:lineRule="auto"/>
              <w:rPr>
                <w:rFonts w:cs="Arial"/>
                <w:b/>
                <w:spacing w:val="-1"/>
              </w:rPr>
            </w:pPr>
            <w:r w:rsidRPr="00EF2775">
              <w:rPr>
                <w:rFonts w:cs="Arial"/>
                <w:spacing w:val="-1"/>
                <w:lang w:val="en-CA"/>
              </w:rPr>
              <w:t>13 data access request forms received to date, 0 of which were received since Feb 22, 2022</w:t>
            </w:r>
          </w:p>
        </w:tc>
      </w:tr>
      <w:tr w:rsidR="00707EB3" w:rsidRPr="00937003" w:rsidTr="00707EB3">
        <w:tc>
          <w:tcPr>
            <w:tcW w:w="0" w:type="auto"/>
            <w:vMerge/>
          </w:tcPr>
          <w:p w:rsidR="00707EB3" w:rsidRPr="00707EB3" w:rsidRDefault="00707EB3" w:rsidP="00707EB3">
            <w:pPr>
              <w:pStyle w:val="NoSpacing"/>
              <w:spacing w:line="276" w:lineRule="auto"/>
              <w:rPr>
                <w:rFonts w:cs="Arial"/>
                <w:b/>
                <w:spacing w:val="-1"/>
              </w:rPr>
            </w:pPr>
          </w:p>
        </w:tc>
        <w:tc>
          <w:tcPr>
            <w:tcW w:w="0" w:type="auto"/>
          </w:tcPr>
          <w:p w:rsidR="00707EB3" w:rsidRPr="00707EB3" w:rsidRDefault="00707EB3" w:rsidP="00707EB3">
            <w:pPr>
              <w:pStyle w:val="NoSpacing"/>
              <w:spacing w:line="276" w:lineRule="auto"/>
              <w:rPr>
                <w:rFonts w:cs="Arial"/>
                <w:b/>
                <w:spacing w:val="-1"/>
              </w:rPr>
            </w:pPr>
            <w:r w:rsidRPr="00707EB3">
              <w:rPr>
                <w:rFonts w:cs="Arial"/>
                <w:spacing w:val="-1"/>
              </w:rPr>
              <w:t># projects that DASH supported in grant application</w:t>
            </w:r>
          </w:p>
        </w:tc>
        <w:tc>
          <w:tcPr>
            <w:tcW w:w="0" w:type="auto"/>
          </w:tcPr>
          <w:p w:rsidR="00707EB3" w:rsidRPr="00707EB3" w:rsidRDefault="00EF2775" w:rsidP="00707EB3">
            <w:pPr>
              <w:pStyle w:val="NoSpacing"/>
              <w:spacing w:line="276" w:lineRule="auto"/>
              <w:rPr>
                <w:rFonts w:cs="Arial"/>
                <w:b/>
                <w:spacing w:val="-1"/>
              </w:rPr>
            </w:pPr>
            <w:r w:rsidRPr="00EF2775">
              <w:rPr>
                <w:rFonts w:cs="Arial"/>
                <w:spacing w:val="-1"/>
                <w:lang w:val="en-CA"/>
              </w:rPr>
              <w:t>20 projects to date, 0 of which were received since Feb 1, 2022</w:t>
            </w:r>
          </w:p>
        </w:tc>
      </w:tr>
      <w:tr w:rsidR="00707EB3" w:rsidRPr="00937003" w:rsidTr="00707EB3">
        <w:tc>
          <w:tcPr>
            <w:tcW w:w="0" w:type="auto"/>
            <w:vMerge/>
          </w:tcPr>
          <w:p w:rsidR="00707EB3" w:rsidRPr="00707EB3" w:rsidRDefault="00707EB3" w:rsidP="00707EB3">
            <w:pPr>
              <w:pStyle w:val="NoSpacing"/>
              <w:spacing w:line="276" w:lineRule="auto"/>
              <w:rPr>
                <w:rFonts w:cs="Arial"/>
                <w:b/>
                <w:spacing w:val="-1"/>
              </w:rPr>
            </w:pPr>
          </w:p>
        </w:tc>
        <w:tc>
          <w:tcPr>
            <w:tcW w:w="0" w:type="auto"/>
          </w:tcPr>
          <w:p w:rsidR="00707EB3" w:rsidRPr="00707EB3" w:rsidRDefault="00707EB3" w:rsidP="00707EB3">
            <w:pPr>
              <w:pStyle w:val="NoSpacing"/>
              <w:spacing w:line="276" w:lineRule="auto"/>
              <w:rPr>
                <w:rFonts w:cs="Arial"/>
                <w:b/>
                <w:spacing w:val="-1"/>
              </w:rPr>
            </w:pPr>
            <w:r w:rsidRPr="00707EB3">
              <w:rPr>
                <w:rFonts w:cs="Arial"/>
                <w:spacing w:val="-1"/>
              </w:rPr>
              <w:t xml:space="preserve"># of algorithms in inventory </w:t>
            </w:r>
          </w:p>
        </w:tc>
        <w:tc>
          <w:tcPr>
            <w:tcW w:w="0" w:type="auto"/>
          </w:tcPr>
          <w:p w:rsidR="00707EB3" w:rsidRPr="00707EB3" w:rsidRDefault="00EF2775" w:rsidP="00707EB3">
            <w:pPr>
              <w:pStyle w:val="NoSpacing"/>
              <w:spacing w:line="276" w:lineRule="auto"/>
              <w:rPr>
                <w:rFonts w:cs="Arial"/>
                <w:b/>
                <w:spacing w:val="-1"/>
              </w:rPr>
            </w:pPr>
            <w:r w:rsidRPr="00EF2775">
              <w:rPr>
                <w:rFonts w:cs="Arial"/>
                <w:spacing w:val="-1"/>
                <w:lang w:val="en-CA"/>
              </w:rPr>
              <w:t>172 algorithms listed in the inventory (same as last Board meeting)</w:t>
            </w:r>
          </w:p>
        </w:tc>
      </w:tr>
      <w:tr w:rsidR="00707EB3" w:rsidRPr="00937003" w:rsidTr="00707EB3">
        <w:trPr>
          <w:trHeight w:val="534"/>
        </w:trPr>
        <w:tc>
          <w:tcPr>
            <w:tcW w:w="0" w:type="auto"/>
            <w:vMerge/>
          </w:tcPr>
          <w:p w:rsidR="00707EB3" w:rsidRPr="00707EB3" w:rsidRDefault="00707EB3" w:rsidP="00707EB3">
            <w:pPr>
              <w:pStyle w:val="NoSpacing"/>
              <w:spacing w:line="276" w:lineRule="auto"/>
              <w:rPr>
                <w:rFonts w:cs="Arial"/>
                <w:b/>
                <w:spacing w:val="-1"/>
              </w:rPr>
            </w:pPr>
          </w:p>
        </w:tc>
        <w:tc>
          <w:tcPr>
            <w:tcW w:w="0" w:type="auto"/>
          </w:tcPr>
          <w:p w:rsidR="00707EB3" w:rsidRPr="00707EB3" w:rsidRDefault="00707EB3" w:rsidP="00707EB3">
            <w:pPr>
              <w:pStyle w:val="NoSpacing"/>
              <w:spacing w:line="276" w:lineRule="auto"/>
              <w:rPr>
                <w:rFonts w:cs="Arial"/>
                <w:b/>
                <w:spacing w:val="-1"/>
              </w:rPr>
            </w:pPr>
            <w:r w:rsidRPr="00707EB3">
              <w:rPr>
                <w:rFonts w:cs="Arial"/>
                <w:spacing w:val="-1"/>
              </w:rPr>
              <w:t xml:space="preserve"># of datasets in inventory </w:t>
            </w:r>
          </w:p>
        </w:tc>
        <w:tc>
          <w:tcPr>
            <w:tcW w:w="0" w:type="auto"/>
          </w:tcPr>
          <w:p w:rsidR="00707EB3" w:rsidRPr="00707EB3" w:rsidRDefault="00EF2775" w:rsidP="00707EB3">
            <w:pPr>
              <w:pStyle w:val="NoSpacing"/>
              <w:spacing w:line="276" w:lineRule="auto"/>
              <w:rPr>
                <w:rFonts w:cs="Arial"/>
                <w:b/>
                <w:spacing w:val="-1"/>
              </w:rPr>
            </w:pPr>
            <w:r w:rsidRPr="00EF2775">
              <w:rPr>
                <w:rFonts w:cs="Arial"/>
                <w:spacing w:val="-1"/>
                <w:lang w:val="en-CA"/>
              </w:rPr>
              <w:t>554 datasets listed in the inventory (increase of 11 since last Board meeting)</w:t>
            </w:r>
          </w:p>
        </w:tc>
      </w:tr>
      <w:tr w:rsidR="00707EB3" w:rsidRPr="00937003" w:rsidTr="00EF2775">
        <w:trPr>
          <w:trHeight w:val="1899"/>
        </w:trPr>
        <w:tc>
          <w:tcPr>
            <w:tcW w:w="0" w:type="auto"/>
          </w:tcPr>
          <w:p w:rsidR="00707EB3" w:rsidRPr="00707EB3" w:rsidRDefault="00EF2775" w:rsidP="00707EB3">
            <w:pPr>
              <w:pStyle w:val="NoSpacing"/>
              <w:spacing w:line="276" w:lineRule="auto"/>
              <w:rPr>
                <w:rFonts w:cs="Arial"/>
                <w:b/>
                <w:spacing w:val="-1"/>
              </w:rPr>
            </w:pPr>
            <w:r w:rsidRPr="00EF2775">
              <w:rPr>
                <w:rFonts w:cs="Arial"/>
                <w:spacing w:val="-1"/>
                <w:lang w:val="en-CA"/>
              </w:rPr>
              <w:t>Diversify &amp; Harmonize Data + Support Innovative &amp; Privacy-Sensitive Data Use for Researchers</w:t>
            </w:r>
          </w:p>
        </w:tc>
        <w:tc>
          <w:tcPr>
            <w:tcW w:w="0" w:type="auto"/>
          </w:tcPr>
          <w:p w:rsidR="00707EB3" w:rsidRPr="00707EB3" w:rsidRDefault="00707EB3" w:rsidP="00707EB3">
            <w:pPr>
              <w:pStyle w:val="NoSpacing"/>
              <w:spacing w:line="276" w:lineRule="auto"/>
              <w:rPr>
                <w:rFonts w:cs="Arial"/>
                <w:b/>
                <w:spacing w:val="-1"/>
              </w:rPr>
            </w:pPr>
            <w:r w:rsidRPr="00707EB3">
              <w:rPr>
                <w:rFonts w:cs="Arial"/>
                <w:spacing w:val="-1"/>
              </w:rPr>
              <w:t>Enhancements / updates to resources that support access to multi-regional data</w:t>
            </w:r>
          </w:p>
        </w:tc>
        <w:tc>
          <w:tcPr>
            <w:tcW w:w="0" w:type="auto"/>
          </w:tcPr>
          <w:p w:rsidR="00EF2775" w:rsidRPr="00EF2775" w:rsidRDefault="00EF2775" w:rsidP="00EF2775">
            <w:pPr>
              <w:pStyle w:val="NoSpacing"/>
              <w:numPr>
                <w:ilvl w:val="0"/>
                <w:numId w:val="111"/>
              </w:numPr>
              <w:rPr>
                <w:rFonts w:cs="Arial"/>
                <w:spacing w:val="-1"/>
                <w:lang w:val="en-CA"/>
              </w:rPr>
            </w:pPr>
            <w:r w:rsidRPr="00EF2775">
              <w:rPr>
                <w:rFonts w:cs="Arial"/>
                <w:spacing w:val="-1"/>
                <w:lang w:val="en-CA"/>
              </w:rPr>
              <w:t>Finalized DASH Request Standard Operating Procedures document (internal resource to support DASH personnel)</w:t>
            </w:r>
          </w:p>
          <w:p w:rsidR="00707EB3" w:rsidRPr="00EF2775" w:rsidRDefault="00EF2775" w:rsidP="00EF2775">
            <w:pPr>
              <w:pStyle w:val="NoSpacing"/>
              <w:numPr>
                <w:ilvl w:val="0"/>
                <w:numId w:val="111"/>
              </w:numPr>
              <w:rPr>
                <w:rFonts w:cs="Arial"/>
                <w:spacing w:val="-1"/>
                <w:lang w:val="en-CA"/>
              </w:rPr>
            </w:pPr>
            <w:r w:rsidRPr="00EF2775">
              <w:rPr>
                <w:rFonts w:cs="Arial"/>
                <w:spacing w:val="-1"/>
                <w:lang w:val="en-CA"/>
              </w:rPr>
              <w:t>Enhanced the DASH Portal Guide (internal resource to support DASH personnel)</w:t>
            </w:r>
          </w:p>
        </w:tc>
      </w:tr>
    </w:tbl>
    <w:p w:rsidR="00707EB3" w:rsidRDefault="00707EB3" w:rsidP="00707EB3">
      <w:pPr>
        <w:pStyle w:val="Heading1"/>
      </w:pPr>
      <w:bookmarkStart w:id="4" w:name="_Toc140483538"/>
      <w:r>
        <w:t>High Level Key Performance Indicators</w:t>
      </w:r>
      <w:bookmarkEnd w:id="4"/>
    </w:p>
    <w:p w:rsidR="00707EB3" w:rsidRPr="00707EB3" w:rsidRDefault="00707EB3" w:rsidP="00707EB3">
      <w:pPr>
        <w:pStyle w:val="NoSpacing"/>
        <w:sectPr w:rsidR="00707EB3" w:rsidRPr="00707EB3" w:rsidSect="00EF2775">
          <w:headerReference w:type="default" r:id="rId10"/>
          <w:footerReference w:type="even" r:id="rId11"/>
          <w:footerReference w:type="default" r:id="rId12"/>
          <w:pgSz w:w="12240" w:h="15840"/>
          <w:pgMar w:top="1440" w:right="1080" w:bottom="1440" w:left="1080" w:header="0" w:footer="973" w:gutter="0"/>
          <w:cols w:space="720"/>
          <w:titlePg/>
          <w:docGrid w:linePitch="326"/>
        </w:sectPr>
      </w:pPr>
    </w:p>
    <w:p w:rsidR="00707EB3" w:rsidRPr="00707EB3" w:rsidRDefault="00825DC9" w:rsidP="00707EB3">
      <w:pPr>
        <w:pStyle w:val="Heading1"/>
        <w:spacing w:before="0"/>
        <w:rPr>
          <w:rFonts w:ascii="Calibri" w:eastAsia="Calibri" w:hAnsi="Calibri" w:cstheme="minorHAnsi"/>
        </w:rPr>
      </w:pPr>
      <w:bookmarkStart w:id="5" w:name="_Toc140483539"/>
      <w:r>
        <w:lastRenderedPageBreak/>
        <w:t xml:space="preserve">Section 2: </w:t>
      </w:r>
      <w:r w:rsidR="00707EB3">
        <w:t>Additional Information About HDRN Canada Progress and Core Work</w:t>
      </w:r>
      <w:bookmarkEnd w:id="5"/>
    </w:p>
    <w:p w:rsidR="00707EB3" w:rsidRPr="00705E95" w:rsidRDefault="00707EB3" w:rsidP="00707EB3">
      <w:r w:rsidRPr="00937003">
        <w:t>The following provides an update on the Strategic Goals and Success Factors in the Strategic Plan</w:t>
      </w:r>
    </w:p>
    <w:p w:rsidR="00707EB3" w:rsidRPr="00707EB3" w:rsidRDefault="00707EB3" w:rsidP="00707EB3">
      <w:pPr>
        <w:pStyle w:val="Heading2"/>
      </w:pPr>
      <w:bookmarkStart w:id="6" w:name="_Toc140483540"/>
      <w:r w:rsidRPr="00707EB3">
        <w:t>Goal</w:t>
      </w:r>
      <w:r w:rsidR="00825DC9">
        <w:t xml:space="preserve"> 1</w:t>
      </w:r>
      <w:r w:rsidRPr="00707EB3">
        <w:t>: Develop and Improve Services and Supports for Data Access</w:t>
      </w:r>
      <w:bookmarkEnd w:id="6"/>
      <w:r w:rsidRPr="00707EB3" w:rsidDel="008937A2">
        <w:t xml:space="preserve"> </w:t>
      </w:r>
    </w:p>
    <w:p w:rsidR="00707EB3" w:rsidRPr="00707EB3" w:rsidRDefault="00707EB3" w:rsidP="00707EB3">
      <w:pPr>
        <w:pStyle w:val="Heading3"/>
      </w:pPr>
      <w:bookmarkStart w:id="7" w:name="_Toc140483541"/>
      <w:r w:rsidRPr="00707EB3">
        <w:t>Key developments since last meeting</w:t>
      </w:r>
      <w:bookmarkEnd w:id="7"/>
    </w:p>
    <w:p w:rsidR="00EF2775" w:rsidRDefault="00EF2775" w:rsidP="00EF2775">
      <w:pPr>
        <w:pStyle w:val="ListParagraph"/>
        <w:numPr>
          <w:ilvl w:val="0"/>
          <w:numId w:val="113"/>
        </w:numPr>
      </w:pPr>
      <w:r>
        <w:t>Technical implementation of the Data Assembly Plan template in the DASH web portal is ongoing to support a second phase of pilot testing. This online tool aids sites in tracking the requirements and tasks associated with the data assembly phase of HDRN Canada data access requests.  </w:t>
      </w:r>
    </w:p>
    <w:p w:rsidR="00EF2775" w:rsidRDefault="00EF2775" w:rsidP="00EF2775">
      <w:pPr>
        <w:pStyle w:val="ListParagraph"/>
        <w:numPr>
          <w:ilvl w:val="0"/>
          <w:numId w:val="113"/>
        </w:numPr>
      </w:pPr>
      <w:r>
        <w:t>Technical implementation of the common DASH Data Access Request Form in the DASH web portal and associated interfaces is ongoing. </w:t>
      </w:r>
    </w:p>
    <w:p w:rsidR="00EF2775" w:rsidRDefault="00EF2775" w:rsidP="00EF2775">
      <w:pPr>
        <w:pStyle w:val="ListParagraph"/>
        <w:numPr>
          <w:ilvl w:val="0"/>
          <w:numId w:val="113"/>
        </w:numPr>
      </w:pPr>
      <w:r>
        <w:t>Refinement of the DASH Application Tracker is ongoing to improve user-friendliness and support development of program monitoring reports. This will increase capability to report on requests as they move through the various request stages.</w:t>
      </w:r>
    </w:p>
    <w:p w:rsidR="00EF2775" w:rsidRDefault="00EF2775" w:rsidP="00EF2775">
      <w:pPr>
        <w:pStyle w:val="ListParagraph"/>
        <w:numPr>
          <w:ilvl w:val="0"/>
          <w:numId w:val="113"/>
        </w:numPr>
      </w:pPr>
      <w:r>
        <w:t xml:space="preserve">The DASH Request Standard Operating Procedure document has been finalized. This is an internal resource to support DASH operations across data </w:t>
      </w:r>
      <w:proofErr w:type="spellStart"/>
      <w:r>
        <w:t>centres</w:t>
      </w:r>
      <w:proofErr w:type="spellEnd"/>
      <w:r>
        <w:t>.  </w:t>
      </w:r>
    </w:p>
    <w:p w:rsidR="00EF2775" w:rsidRDefault="00EF2775" w:rsidP="00EF2775">
      <w:pPr>
        <w:pStyle w:val="ListParagraph"/>
        <w:numPr>
          <w:ilvl w:val="0"/>
          <w:numId w:val="113"/>
        </w:numPr>
      </w:pPr>
      <w:r>
        <w:t>The DASH has dedicated considerable time to the development of operational and program management reports for the Exec and Leads audiences. Examples of reports are included in the Board’s May 17</w:t>
      </w:r>
      <w:r w:rsidRPr="00EF2775">
        <w:rPr>
          <w:vertAlign w:val="superscript"/>
        </w:rPr>
        <w:t>th</w:t>
      </w:r>
      <w:r>
        <w:t xml:space="preserve"> meeting package (e.g., number of requests by site) and will be part of the discussion with DASH staff at the meeting. </w:t>
      </w:r>
    </w:p>
    <w:p w:rsidR="00707EB3" w:rsidRPr="00937003" w:rsidRDefault="00707EB3" w:rsidP="00707EB3">
      <w:pPr>
        <w:pStyle w:val="Heading3"/>
      </w:pPr>
      <w:bookmarkStart w:id="8" w:name="_Toc140483542"/>
      <w:r w:rsidRPr="00937003">
        <w:t>Successes</w:t>
      </w:r>
      <w:bookmarkEnd w:id="8"/>
    </w:p>
    <w:p w:rsidR="00EF2775" w:rsidRDefault="00EF2775" w:rsidP="00EF2775">
      <w:pPr>
        <w:pStyle w:val="ListParagraph"/>
        <w:numPr>
          <w:ilvl w:val="0"/>
          <w:numId w:val="115"/>
        </w:numPr>
      </w:pPr>
      <w:r>
        <w:t xml:space="preserve">Since the last Board meeting, the DASH has completed one data request, where the research team has received all requested data. In addition, DASH supported two new requests through the intake process, and continued to support over 30 active requests. A total of 13 projects have reached the formal data request stage of the process and of these, 3 projects are at the agreement stage, one is at the data assembly stage and </w:t>
      </w:r>
      <w:r>
        <w:lastRenderedPageBreak/>
        <w:t xml:space="preserve">one at the analysis stage. DASH staff across data </w:t>
      </w:r>
      <w:proofErr w:type="spellStart"/>
      <w:r>
        <w:t>centres</w:t>
      </w:r>
      <w:proofErr w:type="spellEnd"/>
      <w:r>
        <w:t xml:space="preserve"> continue to meet regularly to ensure that projects are progressing well.</w:t>
      </w:r>
    </w:p>
    <w:p w:rsidR="00707EB3" w:rsidRPr="00937003" w:rsidRDefault="00707EB3" w:rsidP="00707EB3">
      <w:pPr>
        <w:pStyle w:val="Heading3"/>
      </w:pPr>
      <w:bookmarkStart w:id="9" w:name="_Toc140483543"/>
      <w:r w:rsidRPr="00937003">
        <w:t>Challenges</w:t>
      </w:r>
      <w:bookmarkEnd w:id="9"/>
      <w:r w:rsidRPr="00937003">
        <w:t xml:space="preserve"> </w:t>
      </w:r>
    </w:p>
    <w:p w:rsidR="00707EB3" w:rsidRPr="00C8089A" w:rsidRDefault="00EF2775" w:rsidP="00EF2775">
      <w:pPr>
        <w:pStyle w:val="ListParagraph"/>
        <w:numPr>
          <w:ilvl w:val="0"/>
          <w:numId w:val="115"/>
        </w:numPr>
      </w:pPr>
      <w:r>
        <w:t>Ensuring that researchers’ data requirements can be documented at the time of project intake in an efficient manner to minimize researcher burden.  Discussions within HDRN Canada are ongoing and will provide direction on the future state and the tools and processes required. The DASH Data Assembly Plan may then be fully integrated into the project intake stage to further streamline the process and researcher experience</w:t>
      </w:r>
      <w:r w:rsidR="00707EB3" w:rsidRPr="00C8089A">
        <w:t>.</w:t>
      </w:r>
    </w:p>
    <w:p w:rsidR="00707EB3" w:rsidRPr="00937003" w:rsidRDefault="00707EB3" w:rsidP="00707EB3">
      <w:pPr>
        <w:pStyle w:val="Heading3"/>
      </w:pPr>
      <w:bookmarkStart w:id="10" w:name="_Toc140483544"/>
      <w:r w:rsidRPr="00937003">
        <w:t>Risks</w:t>
      </w:r>
      <w:bookmarkEnd w:id="10"/>
    </w:p>
    <w:p w:rsidR="00707EB3" w:rsidRDefault="00707EB3" w:rsidP="00707EB3">
      <w:pPr>
        <w:pStyle w:val="ListParagraph"/>
        <w:numPr>
          <w:ilvl w:val="0"/>
          <w:numId w:val="87"/>
        </w:numPr>
      </w:pPr>
      <w:r>
        <w:t>None identified at this time.</w:t>
      </w:r>
    </w:p>
    <w:p w:rsidR="00707EB3" w:rsidRPr="004C76A6" w:rsidRDefault="00707EB3" w:rsidP="00707EB3">
      <w:pPr>
        <w:pStyle w:val="Heading2"/>
      </w:pPr>
      <w:bookmarkStart w:id="11" w:name="_Toc140483545"/>
      <w:r w:rsidRPr="004C76A6">
        <w:t>Goal</w:t>
      </w:r>
      <w:r w:rsidR="00825DC9">
        <w:t xml:space="preserve"> 2</w:t>
      </w:r>
      <w:r w:rsidRPr="004C76A6">
        <w:t>: Diversify and Harmonize Data, and Support Innovative and Privacy-Sensitive Data Use</w:t>
      </w:r>
      <w:bookmarkEnd w:id="11"/>
      <w:r w:rsidRPr="004C76A6">
        <w:t xml:space="preserve"> </w:t>
      </w:r>
    </w:p>
    <w:p w:rsidR="00707EB3" w:rsidRPr="00B10CE8" w:rsidRDefault="00707EB3" w:rsidP="00707EB3">
      <w:pPr>
        <w:pStyle w:val="Heading3"/>
      </w:pPr>
      <w:bookmarkStart w:id="12" w:name="_Toc140483546"/>
      <w:r w:rsidRPr="00B10CE8">
        <w:t>Key developments since last meeting</w:t>
      </w:r>
      <w:bookmarkEnd w:id="12"/>
    </w:p>
    <w:p w:rsidR="00EF2775" w:rsidRDefault="00EF2775" w:rsidP="00EF2775">
      <w:pPr>
        <w:pStyle w:val="ListParagraph"/>
        <w:numPr>
          <w:ilvl w:val="0"/>
          <w:numId w:val="115"/>
        </w:numPr>
      </w:pPr>
      <w:r>
        <w:t>T</w:t>
      </w:r>
      <w:r>
        <w:t xml:space="preserve">he first prototype of a new web-based interface has been developed to collect updates for the Data Assets Inventory. It is anticipated that by October this system will be fully in use across participating data </w:t>
      </w:r>
      <w:proofErr w:type="spellStart"/>
      <w:r>
        <w:t>centres</w:t>
      </w:r>
      <w:proofErr w:type="spellEnd"/>
      <w:r>
        <w:t xml:space="preserve"> and that the process will be more user-friendly for sites to submit updates. Feedback is being sought from data </w:t>
      </w:r>
      <w:proofErr w:type="spellStart"/>
      <w:r>
        <w:t>centres</w:t>
      </w:r>
      <w:proofErr w:type="spellEnd"/>
      <w:r>
        <w:t xml:space="preserve"> on features they would like to see and training materials will be developed and rolled out over the coming months.</w:t>
      </w:r>
    </w:p>
    <w:p w:rsidR="00EF2775" w:rsidRDefault="00EF2775" w:rsidP="00EF2775">
      <w:pPr>
        <w:pStyle w:val="ListParagraph"/>
        <w:numPr>
          <w:ilvl w:val="0"/>
          <w:numId w:val="115"/>
        </w:numPr>
      </w:pPr>
      <w:r>
        <w:t xml:space="preserve">Five of eight participating data </w:t>
      </w:r>
      <w:proofErr w:type="spellStart"/>
      <w:r>
        <w:t>centres</w:t>
      </w:r>
      <w:proofErr w:type="spellEnd"/>
      <w:r>
        <w:t xml:space="preserve"> have annotated their data holdings using the first 15 labels generated by the Modelling and Informatics Group. All participating data </w:t>
      </w:r>
      <w:proofErr w:type="spellStart"/>
      <w:r>
        <w:t>centres</w:t>
      </w:r>
      <w:proofErr w:type="spellEnd"/>
      <w:r>
        <w:t xml:space="preserve"> are expected to complete the annotations by the end of April. An analysis of the annotations to ensure reliability is currently underway.</w:t>
      </w:r>
    </w:p>
    <w:p w:rsidR="00EF2775" w:rsidRDefault="00EF2775" w:rsidP="00EF2775">
      <w:pPr>
        <w:pStyle w:val="ListParagraph"/>
        <w:numPr>
          <w:ilvl w:val="0"/>
          <w:numId w:val="115"/>
        </w:numPr>
      </w:pPr>
      <w:r>
        <w:t>A prototype to enhance the Data Assets Inventory search process, to allow for searching by semantic label, is currently being tested.</w:t>
      </w:r>
    </w:p>
    <w:p w:rsidR="00EF2775" w:rsidRDefault="00EF2775" w:rsidP="00EF2775">
      <w:pPr>
        <w:pStyle w:val="ListParagraph"/>
        <w:numPr>
          <w:ilvl w:val="0"/>
          <w:numId w:val="115"/>
        </w:numPr>
      </w:pPr>
      <w:r>
        <w:t>Information regarding provenance has been added to the dataset information pages.</w:t>
      </w:r>
    </w:p>
    <w:p w:rsidR="00EF2775" w:rsidRDefault="00EF2775" w:rsidP="00EF2775">
      <w:pPr>
        <w:pStyle w:val="ListParagraph"/>
        <w:numPr>
          <w:ilvl w:val="0"/>
          <w:numId w:val="115"/>
        </w:numPr>
      </w:pPr>
      <w:r>
        <w:t xml:space="preserve">A program has been agreed to study the use of privacy-preserving distributed analysis techniques that allow data to remain in place at multiple sites while analysis is in </w:t>
      </w:r>
      <w:r>
        <w:lastRenderedPageBreak/>
        <w:t>progress. A demonstration project will use synthetic data at multiple sites to perform a linear regression analysis. This will allow the sites to become familiar with the techniques, establish any changes in governance required, and gain confidence that sites and researchers can rely on these techniques for a range of supported kinds of analysis. If successful, a live project will be selected that can make use of such techniques and agreement obtained to proceed in this manner. Distributed analysis will be one of three ways in which data can be analyzed within a trusted environment for analysis; the others being local analysis followed by meta-analysis, and analysis of a small subset of pulled data at a central trusted site, where governance allows this. The latter will likely be used only sparingly.</w:t>
      </w:r>
    </w:p>
    <w:p w:rsidR="00707EB3" w:rsidRPr="00937003" w:rsidRDefault="00707EB3" w:rsidP="00707EB3">
      <w:pPr>
        <w:pStyle w:val="Heading3"/>
      </w:pPr>
      <w:bookmarkStart w:id="13" w:name="_Toc140483547"/>
      <w:r w:rsidRPr="00937003">
        <w:t>Successes</w:t>
      </w:r>
      <w:bookmarkEnd w:id="13"/>
    </w:p>
    <w:p w:rsidR="00EF2775" w:rsidRDefault="00EF2775" w:rsidP="00EF2775">
      <w:pPr>
        <w:pStyle w:val="ListParagraph"/>
        <w:numPr>
          <w:ilvl w:val="0"/>
          <w:numId w:val="118"/>
        </w:numPr>
      </w:pPr>
      <w:r>
        <w:t>An abstract about the synthesis of the Algorithms Inventory was submitted to the 2022 International Population Data Linkage Network conference. The synthesis identifies gaps and trends within the inventory as well as areas for future research.</w:t>
      </w:r>
    </w:p>
    <w:p w:rsidR="00707EB3" w:rsidRPr="00EF2775" w:rsidRDefault="00EF2775" w:rsidP="00EF2775">
      <w:pPr>
        <w:pStyle w:val="ListParagraph"/>
        <w:numPr>
          <w:ilvl w:val="0"/>
          <w:numId w:val="118"/>
        </w:numPr>
      </w:pPr>
      <w:r>
        <w:t>After experiencing significant delays due to COVID-19, the project to advance the algorithms inventory led by Morgan Slater is progressing with a scientific protocol being finalized and submitted to the DASH</w:t>
      </w:r>
      <w:r w:rsidR="00707EB3" w:rsidRPr="00563FFE">
        <w:t xml:space="preserve">. </w:t>
      </w:r>
    </w:p>
    <w:p w:rsidR="00707EB3" w:rsidRPr="00937003" w:rsidRDefault="00707EB3" w:rsidP="00707EB3">
      <w:pPr>
        <w:pStyle w:val="Heading3"/>
      </w:pPr>
      <w:bookmarkStart w:id="14" w:name="_Toc140483548"/>
      <w:r>
        <w:t>C</w:t>
      </w:r>
      <w:r w:rsidRPr="00937003">
        <w:t>hallenges</w:t>
      </w:r>
      <w:bookmarkEnd w:id="14"/>
      <w:r w:rsidRPr="00937003">
        <w:t xml:space="preserve"> </w:t>
      </w:r>
    </w:p>
    <w:p w:rsidR="00EF2775" w:rsidRPr="00EF2775" w:rsidRDefault="00EF2775" w:rsidP="00EF2775">
      <w:pPr>
        <w:pStyle w:val="ListParagraph"/>
        <w:numPr>
          <w:ilvl w:val="0"/>
          <w:numId w:val="121"/>
        </w:numPr>
      </w:pPr>
      <w:r w:rsidRPr="00EF2775">
        <w:t xml:space="preserve">The full-text review from a new literature search on determinants of health measures has been completed with seven papers identified for inclusion into the Algorithms Inventory. Each search requires a large </w:t>
      </w:r>
      <w:proofErr w:type="gramStart"/>
      <w:r w:rsidRPr="00EF2775">
        <w:t>amount</w:t>
      </w:r>
      <w:proofErr w:type="gramEnd"/>
      <w:r w:rsidRPr="00EF2775">
        <w:t xml:space="preserve"> of resources in terms of staff time and there are diminishing returns in terms of how many articles and algorithms are identified for inclusion into the Algorithms Inventory in each search. More automated solutions are being explored to keep the inventory updated. </w:t>
      </w:r>
    </w:p>
    <w:p w:rsidR="00EF2775" w:rsidRPr="00EF2775" w:rsidRDefault="00EF2775" w:rsidP="00EF2775">
      <w:pPr>
        <w:pStyle w:val="ListParagraph"/>
        <w:numPr>
          <w:ilvl w:val="0"/>
          <w:numId w:val="121"/>
        </w:numPr>
      </w:pPr>
      <w:r w:rsidRPr="00EF2775">
        <w:t xml:space="preserve">Heterogeneity in the descriptions of the contents of the Data Assets Inventory may hamper researchers in their searches of the Inventory to identify relevant data for their cross-jurisdictional studies. Semantic labels are one approach to improve search capabilities, by standardizing the database information available at each data </w:t>
      </w:r>
      <w:proofErr w:type="spellStart"/>
      <w:r w:rsidRPr="00EF2775">
        <w:t>centre</w:t>
      </w:r>
      <w:proofErr w:type="spellEnd"/>
      <w:r w:rsidRPr="00EF2775">
        <w:t xml:space="preserve">. However, given that they provide a very basic level of information, other metadata </w:t>
      </w:r>
      <w:r w:rsidRPr="00EF2775">
        <w:lastRenderedPageBreak/>
        <w:t>sharing initiatives such as using a common data model or ontology will need to be considered.</w:t>
      </w:r>
    </w:p>
    <w:p w:rsidR="00EF2775" w:rsidRPr="00EF2775" w:rsidRDefault="00EF2775" w:rsidP="00EF2775">
      <w:pPr>
        <w:pStyle w:val="ListParagraph"/>
        <w:numPr>
          <w:ilvl w:val="0"/>
          <w:numId w:val="121"/>
        </w:numPr>
      </w:pPr>
      <w:r w:rsidRPr="00EF2775">
        <w:t>A significant proportion of the data assets (about 34%) in the inventory are held by Statistics Canada who are not currently participating in the semantic labelling project due to other internal projects taking precedence. </w:t>
      </w:r>
    </w:p>
    <w:p w:rsidR="00EF2775" w:rsidRPr="00EF2775" w:rsidRDefault="00EF2775" w:rsidP="00EF2775">
      <w:pPr>
        <w:pStyle w:val="ListParagraph"/>
        <w:numPr>
          <w:ilvl w:val="0"/>
          <w:numId w:val="121"/>
        </w:numPr>
      </w:pPr>
      <w:r w:rsidRPr="00EF2775">
        <w:t>Regarding a DASH dictionary, the challenge is to model and introduce a tool (and associated service) that can absorb various methods of organizing information items in a coherent way and allow researchers choice in how they identify and locate data in ways which are more suited to their interests. For example, researchers involved in drug safety studies may wish to identify and locate data based on information items and category labels associated with the Canadian Network for Observational Drug Effect Studies (CNODES) data model. Researchers with other interests may wish to use an ontological framework. Importantly, the tool, service and underlying model must provide a basis for harmonization and automation of data selection and extraction, including definition of cohort(s).</w:t>
      </w:r>
    </w:p>
    <w:p w:rsidR="00EF2775" w:rsidRPr="00EF2775" w:rsidRDefault="00EF2775" w:rsidP="00EF2775">
      <w:pPr>
        <w:pStyle w:val="ListParagraph"/>
        <w:numPr>
          <w:ilvl w:val="0"/>
          <w:numId w:val="121"/>
        </w:numPr>
      </w:pPr>
      <w:r w:rsidRPr="00EF2775">
        <w:t>Distributed analysis may require modifications to local site governance.</w:t>
      </w:r>
    </w:p>
    <w:p w:rsidR="00707EB3" w:rsidRPr="00937003" w:rsidRDefault="00707EB3" w:rsidP="00707EB3">
      <w:pPr>
        <w:pStyle w:val="Heading3"/>
      </w:pPr>
      <w:bookmarkStart w:id="15" w:name="_Toc140483549"/>
      <w:r w:rsidRPr="00937003">
        <w:t>Risks</w:t>
      </w:r>
      <w:bookmarkEnd w:id="15"/>
    </w:p>
    <w:p w:rsidR="00707EB3" w:rsidRPr="00563FFE" w:rsidRDefault="00707EB3" w:rsidP="00707EB3">
      <w:pPr>
        <w:pStyle w:val="ListParagraph"/>
        <w:numPr>
          <w:ilvl w:val="0"/>
          <w:numId w:val="92"/>
        </w:numPr>
      </w:pPr>
      <w:r>
        <w:t>None identified at this time</w:t>
      </w:r>
    </w:p>
    <w:p w:rsidR="00707EB3" w:rsidRPr="004C76A6" w:rsidRDefault="00707EB3" w:rsidP="00707EB3">
      <w:pPr>
        <w:pStyle w:val="Heading2"/>
      </w:pPr>
      <w:bookmarkStart w:id="16" w:name="_Toc140483550"/>
      <w:r w:rsidRPr="004C76A6">
        <w:t>Goal</w:t>
      </w:r>
      <w:r w:rsidR="00825DC9">
        <w:t xml:space="preserve"> 3</w:t>
      </w:r>
      <w:r w:rsidRPr="004C76A6">
        <w:t>: Ensure Purposeful and Ongoing Public and Community Involvement</w:t>
      </w:r>
      <w:bookmarkEnd w:id="16"/>
      <w:r w:rsidRPr="004C76A6">
        <w:t xml:space="preserve"> </w:t>
      </w:r>
    </w:p>
    <w:p w:rsidR="00707EB3" w:rsidRPr="00937003" w:rsidRDefault="00707EB3" w:rsidP="00707EB3">
      <w:pPr>
        <w:pStyle w:val="Heading3"/>
      </w:pPr>
      <w:bookmarkStart w:id="17" w:name="_Toc140483551"/>
      <w:r w:rsidRPr="00937003">
        <w:t>Key developments since last meeting</w:t>
      </w:r>
      <w:bookmarkEnd w:id="17"/>
    </w:p>
    <w:p w:rsidR="00EF2775" w:rsidRDefault="00EF2775" w:rsidP="00EF2775">
      <w:pPr>
        <w:pStyle w:val="ListParagraph"/>
        <w:numPr>
          <w:ilvl w:val="0"/>
          <w:numId w:val="92"/>
        </w:numPr>
      </w:pPr>
      <w:r>
        <w:t>The ninth meeting of the Public Advisory Council (PAC) was held in March 2022 and focused on:</w:t>
      </w:r>
    </w:p>
    <w:p w:rsidR="00EF2775" w:rsidRDefault="00EF2775" w:rsidP="00EF2775">
      <w:pPr>
        <w:pStyle w:val="ListParagraph"/>
        <w:numPr>
          <w:ilvl w:val="0"/>
          <w:numId w:val="128"/>
        </w:numPr>
      </w:pPr>
      <w:r>
        <w:t>Finalizing the updated PAC Terms of Reference for the PAC to focus on activities that PAC members see themselves having an impact on,</w:t>
      </w:r>
    </w:p>
    <w:p w:rsidR="00EF2775" w:rsidRDefault="00EF2775" w:rsidP="00EF2775">
      <w:pPr>
        <w:pStyle w:val="ListParagraph"/>
        <w:numPr>
          <w:ilvl w:val="0"/>
          <w:numId w:val="128"/>
        </w:numPr>
      </w:pPr>
      <w:r>
        <w:t>PAC member suggestions for expanded recruitment of new members given that several PAC members have terms that end in fall 2022,</w:t>
      </w:r>
    </w:p>
    <w:p w:rsidR="00EF2775" w:rsidRDefault="00EF2775" w:rsidP="00EF2775">
      <w:pPr>
        <w:pStyle w:val="ListParagraph"/>
        <w:numPr>
          <w:ilvl w:val="0"/>
          <w:numId w:val="128"/>
        </w:numPr>
      </w:pPr>
      <w:r>
        <w:t>The creation of two PAC “Interest Groups” that will meet and work outside of PAC meetings: a Communications PAC Interest Group and an IDEA PAC Interest Group, and</w:t>
      </w:r>
    </w:p>
    <w:p w:rsidR="00EF2775" w:rsidRDefault="00EF2775" w:rsidP="00EF2775">
      <w:pPr>
        <w:pStyle w:val="ListParagraph"/>
        <w:numPr>
          <w:ilvl w:val="0"/>
          <w:numId w:val="128"/>
        </w:numPr>
      </w:pPr>
      <w:r>
        <w:lastRenderedPageBreak/>
        <w:t>Discussing PAC member interest in an in-person meeting in fall 2022.</w:t>
      </w:r>
    </w:p>
    <w:p w:rsidR="00EF2775" w:rsidRDefault="00EF2775" w:rsidP="00EF2775">
      <w:pPr>
        <w:pStyle w:val="ListParagraph"/>
        <w:numPr>
          <w:ilvl w:val="0"/>
          <w:numId w:val="92"/>
        </w:numPr>
      </w:pPr>
      <w:r>
        <w:t xml:space="preserve">Following a COVID-related pause, we have restarted the Health Data Social </w:t>
      </w:r>
      <w:proofErr w:type="spellStart"/>
      <w:r>
        <w:t>Licence</w:t>
      </w:r>
      <w:proofErr w:type="spellEnd"/>
      <w:r>
        <w:t xml:space="preserve"> White Paper project (funded by the Public Health Agency of Canada to inform the Pan-Canadian Health Data Strategy) and are on track to complete the project by summer 2022.</w:t>
      </w:r>
    </w:p>
    <w:p w:rsidR="00EF2775" w:rsidRDefault="00EF2775" w:rsidP="00EF2775">
      <w:pPr>
        <w:pStyle w:val="ListParagraph"/>
        <w:numPr>
          <w:ilvl w:val="0"/>
          <w:numId w:val="92"/>
        </w:numPr>
      </w:pPr>
      <w:r>
        <w:t>A new member from Ontario has joined the Public Engagement Working Group which now includes people from BC, Ontario, Quebec, PEI, and Newfoundland and Labrador. </w:t>
      </w:r>
    </w:p>
    <w:p w:rsidR="00707EB3" w:rsidRPr="00937003" w:rsidRDefault="00707EB3" w:rsidP="00707EB3">
      <w:pPr>
        <w:pStyle w:val="Heading3"/>
      </w:pPr>
      <w:bookmarkStart w:id="18" w:name="_Toc140483552"/>
      <w:r w:rsidRPr="00937003">
        <w:t>Successes</w:t>
      </w:r>
      <w:bookmarkEnd w:id="18"/>
    </w:p>
    <w:p w:rsidR="00EF2775" w:rsidRDefault="00EF2775" w:rsidP="00EF2775">
      <w:pPr>
        <w:pStyle w:val="ListParagraph"/>
        <w:numPr>
          <w:ilvl w:val="0"/>
          <w:numId w:val="131"/>
        </w:numPr>
      </w:pPr>
      <w:r>
        <w:t>The scope for the HDRN Public Engagement Plan has been finalized following discussions with the HDRN Public Advisory Council, the SPOR SUPPORT Unit Council, SPOR Network Directors, the Maritime SPOR SUPPORT Unit Scientific Leadership Team, and the Pan-Canadian Patient Council for the Primary and Integrated Health Care Innovations (PIHCI) Network. The scope will be used as the foundation for a full Public Engagement Plan that includes strategic goals (aligned with the HDRN Strategic Plan), timelines, resources, communications, etc.</w:t>
      </w:r>
    </w:p>
    <w:p w:rsidR="00707EB3" w:rsidRPr="00937003" w:rsidRDefault="00707EB3" w:rsidP="00707EB3">
      <w:pPr>
        <w:pStyle w:val="Heading3"/>
      </w:pPr>
      <w:bookmarkStart w:id="19" w:name="_Toc140483553"/>
      <w:r w:rsidRPr="00937003">
        <w:t>Challenges</w:t>
      </w:r>
      <w:bookmarkEnd w:id="19"/>
      <w:r w:rsidRPr="00937003">
        <w:t xml:space="preserve"> </w:t>
      </w:r>
    </w:p>
    <w:p w:rsidR="00EF2775" w:rsidRDefault="00EF2775" w:rsidP="00EF2775">
      <w:pPr>
        <w:pStyle w:val="ListParagraph"/>
        <w:numPr>
          <w:ilvl w:val="0"/>
          <w:numId w:val="131"/>
        </w:numPr>
      </w:pPr>
      <w:r>
        <w:t xml:space="preserve">The timeline for the Health Data Social </w:t>
      </w:r>
      <w:proofErr w:type="spellStart"/>
      <w:r>
        <w:t>Licence</w:t>
      </w:r>
      <w:proofErr w:type="spellEnd"/>
      <w:r>
        <w:t xml:space="preserve"> White Paper for the Public Health Agency of Canada is aggressive given the need to have all materials, and all inputs from tens of participants, translated into French and English.</w:t>
      </w:r>
    </w:p>
    <w:p w:rsidR="00EF2775" w:rsidRDefault="00EF2775" w:rsidP="00EF2775">
      <w:pPr>
        <w:pStyle w:val="ListParagraph"/>
        <w:numPr>
          <w:ilvl w:val="0"/>
          <w:numId w:val="134"/>
        </w:numPr>
      </w:pPr>
      <w:r>
        <w:t xml:space="preserve">Mitigation: prioritize work on the Health Data Social </w:t>
      </w:r>
      <w:proofErr w:type="spellStart"/>
      <w:r>
        <w:t>Licence</w:t>
      </w:r>
      <w:proofErr w:type="spellEnd"/>
      <w:r>
        <w:t xml:space="preserve"> White Paper project, putting less time-sensitive work on other projects on pause whenever needed. </w:t>
      </w:r>
    </w:p>
    <w:p w:rsidR="00707EB3" w:rsidRPr="00937003" w:rsidRDefault="00707EB3" w:rsidP="00707EB3">
      <w:pPr>
        <w:pStyle w:val="Heading3"/>
      </w:pPr>
      <w:bookmarkStart w:id="20" w:name="_Toc140483554"/>
      <w:r w:rsidRPr="00937003">
        <w:t>Risks</w:t>
      </w:r>
      <w:bookmarkEnd w:id="20"/>
    </w:p>
    <w:p w:rsidR="00EF2775" w:rsidRDefault="00EF2775" w:rsidP="00EF2775">
      <w:pPr>
        <w:pStyle w:val="ListParagraph"/>
        <w:numPr>
          <w:ilvl w:val="0"/>
          <w:numId w:val="137"/>
        </w:numPr>
      </w:pPr>
      <w:r>
        <w:t>PAC members are openly expressing the fact that they are finding it challenging to meet only via Zoom. It is possible that we will lose good members partly because of the burden of Zoom meeting. </w:t>
      </w:r>
    </w:p>
    <w:p w:rsidR="00EF2775" w:rsidRDefault="00EF2775" w:rsidP="00EF2775">
      <w:pPr>
        <w:pStyle w:val="ListParagraph"/>
        <w:numPr>
          <w:ilvl w:val="0"/>
          <w:numId w:val="138"/>
        </w:numPr>
      </w:pPr>
      <w:r>
        <w:t xml:space="preserve">Mitigation: Schedule an in-person PAC meeting in fall 2022. </w:t>
      </w:r>
    </w:p>
    <w:p w:rsidR="00707EB3" w:rsidRPr="004C76A6" w:rsidRDefault="00707EB3" w:rsidP="00707EB3">
      <w:pPr>
        <w:pStyle w:val="Heading2"/>
      </w:pPr>
      <w:bookmarkStart w:id="21" w:name="_Toc140483555"/>
      <w:r w:rsidRPr="004C76A6">
        <w:lastRenderedPageBreak/>
        <w:t>Goal</w:t>
      </w:r>
      <w:r w:rsidR="00825DC9">
        <w:t xml:space="preserve"> 4</w:t>
      </w:r>
      <w:r w:rsidRPr="004C76A6">
        <w:t>: Establish and Strengthen Partnerships and Provide Leadership for Evolving Data Practices</w:t>
      </w:r>
      <w:bookmarkEnd w:id="21"/>
    </w:p>
    <w:p w:rsidR="00707EB3" w:rsidRPr="00937003" w:rsidRDefault="00707EB3" w:rsidP="00707EB3">
      <w:pPr>
        <w:pStyle w:val="Heading3"/>
      </w:pPr>
      <w:bookmarkStart w:id="22" w:name="_Toc140483556"/>
      <w:r w:rsidRPr="00937003">
        <w:t>Key developments since last meeting</w:t>
      </w:r>
      <w:bookmarkEnd w:id="22"/>
    </w:p>
    <w:p w:rsidR="00EF2775" w:rsidRDefault="00EF2775" w:rsidP="00EF2775">
      <w:pPr>
        <w:pStyle w:val="ListParagraph"/>
        <w:numPr>
          <w:ilvl w:val="0"/>
          <w:numId w:val="140"/>
        </w:numPr>
      </w:pPr>
      <w:r>
        <w:t>A panel presentation on the HDR Alliance has been accepted for this year’s CAHSPR conference. </w:t>
      </w:r>
    </w:p>
    <w:p w:rsidR="00EF2775" w:rsidRDefault="00EF2775" w:rsidP="00EF2775">
      <w:pPr>
        <w:pStyle w:val="ListParagraph"/>
        <w:numPr>
          <w:ilvl w:val="0"/>
          <w:numId w:val="140"/>
        </w:numPr>
      </w:pPr>
      <w:r>
        <w:t>The HDR Alliance Playbook was competed and shared with Alliance members. </w:t>
      </w:r>
    </w:p>
    <w:p w:rsidR="00707EB3" w:rsidRPr="000B1320" w:rsidRDefault="00707EB3" w:rsidP="00707EB3">
      <w:pPr>
        <w:pStyle w:val="Heading3"/>
      </w:pPr>
      <w:bookmarkStart w:id="23" w:name="_Toc140483557"/>
      <w:r w:rsidRPr="000B1320">
        <w:t>Successes</w:t>
      </w:r>
      <w:bookmarkEnd w:id="23"/>
    </w:p>
    <w:p w:rsidR="00EF2775" w:rsidRDefault="00EF2775" w:rsidP="00EF2775">
      <w:pPr>
        <w:pStyle w:val="ListParagraph"/>
        <w:numPr>
          <w:ilvl w:val="0"/>
          <w:numId w:val="145"/>
        </w:numPr>
      </w:pPr>
      <w:r>
        <w:t>HDRN Canada will be featured in the CIHR Network of Clinical Trial Networks for COVID-19 annual report (report is undergoing final review, will be shared when public).</w:t>
      </w:r>
    </w:p>
    <w:p w:rsidR="00EF2775" w:rsidRDefault="00EF2775" w:rsidP="00EF2775">
      <w:pPr>
        <w:pStyle w:val="ListParagraph"/>
        <w:numPr>
          <w:ilvl w:val="0"/>
          <w:numId w:val="145"/>
        </w:numPr>
      </w:pPr>
      <w:r>
        <w:t>HDRN Canada is invited to speak at international RWE4Decisions event on April 27</w:t>
      </w:r>
      <w:r w:rsidRPr="00EF2775">
        <w:rPr>
          <w:vertAlign w:val="superscript"/>
        </w:rPr>
        <w:t>th</w:t>
      </w:r>
      <w:r>
        <w:t xml:space="preserve"> and at the Scientific Meeting of the Canadian Critical Care Trials Group on May 31</w:t>
      </w:r>
      <w:r w:rsidRPr="00EF2775">
        <w:rPr>
          <w:vertAlign w:val="superscript"/>
        </w:rPr>
        <w:t>st</w:t>
      </w:r>
      <w:r>
        <w:t>.</w:t>
      </w:r>
    </w:p>
    <w:p w:rsidR="00EF2775" w:rsidRDefault="00EF2775" w:rsidP="00EF2775">
      <w:pPr>
        <w:pStyle w:val="ListParagraph"/>
        <w:numPr>
          <w:ilvl w:val="0"/>
          <w:numId w:val="145"/>
        </w:numPr>
      </w:pPr>
      <w:r>
        <w:t>The Canadian Agency for Drugs, Technologies and Health (CADTH)-HDRN Canada partnership was profiled at CADTH's external launch of their new strategic plan; HDRN Canada has membership on their Steering Committee on </w:t>
      </w:r>
      <w:hyperlink r:id="rId13" w:tooltip="Click here to access the CADTH website">
        <w:r w:rsidRPr="00EF2775">
          <w:rPr>
            <w:color w:val="0000FF"/>
            <w:u w:val="single"/>
          </w:rPr>
          <w:t>CADTH website</w:t>
        </w:r>
      </w:hyperlink>
      <w:r>
        <w:t>.  </w:t>
      </w:r>
    </w:p>
    <w:p w:rsidR="00EF2775" w:rsidRDefault="00EF2775" w:rsidP="00EF2775">
      <w:pPr>
        <w:pStyle w:val="ListParagraph"/>
        <w:numPr>
          <w:ilvl w:val="0"/>
          <w:numId w:val="145"/>
        </w:numPr>
      </w:pPr>
      <w:r>
        <w:t>The Privacy Team is working with the Canadian Longitudinal Study on Aging (CLSA) on a joint publication about consent language in longitudinal cohort studies.  </w:t>
      </w:r>
    </w:p>
    <w:p w:rsidR="00EF2775" w:rsidRDefault="00EF2775" w:rsidP="00EF2775">
      <w:pPr>
        <w:pStyle w:val="ListParagraph"/>
        <w:numPr>
          <w:ilvl w:val="0"/>
          <w:numId w:val="145"/>
        </w:numPr>
      </w:pPr>
      <w:r>
        <w:t>The Privacy Team continues to grow, with additional members joining from other HDRN Canada working groups in addition to members from Manitoba and Northwest Territories.  We continue to be encouraged by the interest and growth of this team. </w:t>
      </w:r>
    </w:p>
    <w:p w:rsidR="00EF2775" w:rsidRDefault="00EF2775" w:rsidP="00EF2775">
      <w:pPr>
        <w:pStyle w:val="ListParagraph"/>
        <w:numPr>
          <w:ilvl w:val="0"/>
          <w:numId w:val="145"/>
        </w:numPr>
      </w:pPr>
      <w:r>
        <w:t>The Privacy Team hosted special guest Alexander Bernier (from the McGill Centre for Genomics and Policy) who spoke on challenges being faced by pan-Canadian data sharing across borders. Over 50 participants from across the HDRN Canada attended this Privacy Team event. </w:t>
      </w:r>
    </w:p>
    <w:p w:rsidR="00EF2775" w:rsidRDefault="00EF2775" w:rsidP="00EF2775">
      <w:pPr>
        <w:pStyle w:val="ListParagraph"/>
        <w:numPr>
          <w:ilvl w:val="0"/>
          <w:numId w:val="145"/>
        </w:numPr>
      </w:pPr>
      <w:r>
        <w:t>Work priorities for the Privacy Team for 2022 have identified the development two guidelines for researchers: 1) addressing the differences between REB approval and privacy compliance and how the two work together, and 2) privacy requirements for researchers new to administrative data access requests. Other priorities include:</w:t>
      </w:r>
    </w:p>
    <w:p w:rsidR="00EF2775" w:rsidRDefault="00EF2775" w:rsidP="00EF2775">
      <w:pPr>
        <w:pStyle w:val="ListParagraph"/>
        <w:numPr>
          <w:ilvl w:val="0"/>
          <w:numId w:val="146"/>
        </w:numPr>
      </w:pPr>
      <w:r>
        <w:t>The development of a data access agreement requirements check list for each,</w:t>
      </w:r>
    </w:p>
    <w:p w:rsidR="00EF2775" w:rsidRDefault="00EF2775" w:rsidP="00EF2775">
      <w:pPr>
        <w:pStyle w:val="ListParagraph"/>
        <w:numPr>
          <w:ilvl w:val="0"/>
          <w:numId w:val="146"/>
        </w:numPr>
      </w:pPr>
      <w:r>
        <w:lastRenderedPageBreak/>
        <w:t>Start flushing out vetting and guidance on vetting for the sharing of aggregate data for distributed analysis, and</w:t>
      </w:r>
    </w:p>
    <w:p w:rsidR="00EF2775" w:rsidRDefault="00EF2775" w:rsidP="00EF2775">
      <w:pPr>
        <w:pStyle w:val="ListParagraph"/>
        <w:numPr>
          <w:ilvl w:val="0"/>
          <w:numId w:val="146"/>
        </w:numPr>
      </w:pPr>
      <w:r>
        <w:t>The need for a data set prioritization tool; how to identify what data sets are of most relevance to the network. </w:t>
      </w:r>
    </w:p>
    <w:p w:rsidR="00EF2775" w:rsidRDefault="00EF2775" w:rsidP="00EF2775">
      <w:pPr>
        <w:pStyle w:val="ListParagraph"/>
        <w:numPr>
          <w:ilvl w:val="0"/>
          <w:numId w:val="145"/>
        </w:numPr>
      </w:pPr>
      <w:r>
        <w:t>Data collection continues for the Privacy Team’s study examining the barriers to administrative data sharing across provincial/territorial borders and early findings have been accepted for an electronic poster presentation at CAHSPR 2022 (May 31-June 2).</w:t>
      </w:r>
    </w:p>
    <w:p w:rsidR="00EF2775" w:rsidRDefault="00EF2775" w:rsidP="00EF2775">
      <w:pPr>
        <w:pStyle w:val="ListParagraph"/>
        <w:numPr>
          <w:ilvl w:val="0"/>
          <w:numId w:val="145"/>
        </w:numPr>
      </w:pPr>
      <w:r>
        <w:t>Immediate staffing challenges have been addressed with the appointment of part-time privacy team coordinator assigned to help ensure privacy team projects move forward. </w:t>
      </w:r>
    </w:p>
    <w:p w:rsidR="00707EB3" w:rsidRPr="00EF2775" w:rsidRDefault="00EF2775" w:rsidP="00EF2775">
      <w:pPr>
        <w:pStyle w:val="ListParagraph"/>
        <w:numPr>
          <w:ilvl w:val="0"/>
          <w:numId w:val="145"/>
        </w:numPr>
      </w:pPr>
      <w:r>
        <w:t>Privacy Team members have been invited to lead a CHEER webinar on May 3</w:t>
      </w:r>
      <w:r w:rsidRPr="00EF2775">
        <w:rPr>
          <w:vertAlign w:val="superscript"/>
        </w:rPr>
        <w:t>rd</w:t>
      </w:r>
      <w:r>
        <w:t xml:space="preserve"> on “Importance of Data Sharing and Demystifying the Process”</w:t>
      </w:r>
    </w:p>
    <w:p w:rsidR="00707EB3" w:rsidRPr="000B1320" w:rsidRDefault="00707EB3" w:rsidP="00707EB3">
      <w:pPr>
        <w:pStyle w:val="Heading3"/>
      </w:pPr>
      <w:bookmarkStart w:id="24" w:name="_Toc140483558"/>
      <w:r w:rsidRPr="000B1320">
        <w:t>Challenges</w:t>
      </w:r>
      <w:bookmarkEnd w:id="24"/>
      <w:r w:rsidRPr="000B1320">
        <w:t xml:space="preserve"> </w:t>
      </w:r>
    </w:p>
    <w:p w:rsidR="00EF2775" w:rsidRDefault="00EF2775" w:rsidP="00EF2775">
      <w:pPr>
        <w:pStyle w:val="ListParagraph"/>
        <w:numPr>
          <w:ilvl w:val="0"/>
          <w:numId w:val="149"/>
        </w:numPr>
      </w:pPr>
      <w:r>
        <w:t>There continues to be more potential than capacity in the Partnerships area at present.</w:t>
      </w:r>
    </w:p>
    <w:p w:rsidR="00EF2775" w:rsidRDefault="00EF2775" w:rsidP="00EF2775">
      <w:pPr>
        <w:pStyle w:val="ListParagraph"/>
        <w:numPr>
          <w:ilvl w:val="0"/>
          <w:numId w:val="149"/>
        </w:numPr>
      </w:pPr>
      <w:r>
        <w:t xml:space="preserve">Participation has been slower than expected for the internal survey seeking to establish a benchmark for secure research environments (SREs).  Survey responses are still pending from a couple of </w:t>
      </w:r>
      <w:r>
        <w:t>sites;</w:t>
      </w:r>
      <w:r>
        <w:t xml:space="preserve"> </w:t>
      </w:r>
      <w:r>
        <w:t>however,</w:t>
      </w:r>
      <w:r>
        <w:t xml:space="preserve"> this is a resource issue as people balance the demands on their time.  Final data collection meetings for this project are scheduled during April-May 2022.</w:t>
      </w:r>
    </w:p>
    <w:p w:rsidR="00707EB3" w:rsidRPr="000B1320" w:rsidRDefault="00707EB3" w:rsidP="00707EB3">
      <w:pPr>
        <w:pStyle w:val="Heading3"/>
      </w:pPr>
      <w:bookmarkStart w:id="25" w:name="_Toc140483559"/>
      <w:r w:rsidRPr="000B1320">
        <w:t>Risks</w:t>
      </w:r>
      <w:bookmarkEnd w:id="25"/>
    </w:p>
    <w:p w:rsidR="00707EB3" w:rsidRPr="000B1320" w:rsidRDefault="00707EB3" w:rsidP="00EF2775">
      <w:pPr>
        <w:pStyle w:val="ListParagraph"/>
        <w:numPr>
          <w:ilvl w:val="0"/>
          <w:numId w:val="150"/>
        </w:numPr>
      </w:pPr>
      <w:r w:rsidRPr="000B1320">
        <w:t>None identified at this time</w:t>
      </w:r>
    </w:p>
    <w:p w:rsidR="00707EB3" w:rsidRPr="005375CB" w:rsidRDefault="00707EB3" w:rsidP="00707EB3">
      <w:pPr>
        <w:pStyle w:val="Heading2"/>
      </w:pPr>
      <w:bookmarkStart w:id="26" w:name="_Toc140483560"/>
      <w:r w:rsidRPr="005375CB">
        <w:t>Goal</w:t>
      </w:r>
      <w:r w:rsidR="00825DC9">
        <w:t xml:space="preserve"> 5</w:t>
      </w:r>
      <w:r w:rsidRPr="005375CB">
        <w:t>: Strengthen Data Use to Improve Equity, and Support Indigenous-led Data Sovereignty</w:t>
      </w:r>
      <w:bookmarkEnd w:id="26"/>
      <w:r w:rsidRPr="005375CB" w:rsidDel="009E2960">
        <w:t xml:space="preserve"> </w:t>
      </w:r>
    </w:p>
    <w:p w:rsidR="00707EB3" w:rsidRPr="00937003" w:rsidRDefault="00707EB3" w:rsidP="00707EB3">
      <w:pPr>
        <w:pStyle w:val="Heading3"/>
      </w:pPr>
      <w:bookmarkStart w:id="27" w:name="_Toc140483561"/>
      <w:r w:rsidRPr="00937003">
        <w:t>Key developments since last meeting</w:t>
      </w:r>
      <w:bookmarkEnd w:id="27"/>
    </w:p>
    <w:p w:rsidR="00EF2775" w:rsidRDefault="00EF2775" w:rsidP="00EF2775">
      <w:pPr>
        <w:pStyle w:val="ListParagraph"/>
        <w:numPr>
          <w:ilvl w:val="0"/>
          <w:numId w:val="150"/>
        </w:numPr>
      </w:pPr>
      <w:r>
        <w:t>The Indigenous Data Team (IDT) continues to work on advancing four identified priorities: Connection, Communication, Research, and Transformation, both internally and externally to HDRN. </w:t>
      </w:r>
    </w:p>
    <w:p w:rsidR="00EF2775" w:rsidRDefault="00EF2775" w:rsidP="00EF2775">
      <w:pPr>
        <w:pStyle w:val="ListParagraph"/>
        <w:numPr>
          <w:ilvl w:val="0"/>
          <w:numId w:val="150"/>
        </w:numPr>
      </w:pPr>
      <w:r>
        <w:lastRenderedPageBreak/>
        <w:t>The IDT Lead continues to connect with HDRN Members from Organizations across Canada to build relationships, better understand the roles of various stakeholders, and identify Indigenous-related data priorities. These discussions have helped to highlight some of the high-level priority areas around Indigenous data governance that need further work. </w:t>
      </w:r>
    </w:p>
    <w:p w:rsidR="00EF2775" w:rsidRDefault="00EF2775" w:rsidP="00EF2775">
      <w:pPr>
        <w:pStyle w:val="ListParagraph"/>
        <w:numPr>
          <w:ilvl w:val="0"/>
          <w:numId w:val="150"/>
        </w:numPr>
      </w:pPr>
      <w:r>
        <w:t>The IDT is curating and organizing an Indigenous data sovereignty online resource library. This is being developed through a website that will be vetted by the IDT Lead. A student from Laurentian University is assisting in the curation of resources. </w:t>
      </w:r>
    </w:p>
    <w:p w:rsidR="00EF2775" w:rsidRDefault="00EF2775" w:rsidP="00EF2775">
      <w:pPr>
        <w:pStyle w:val="ListParagraph"/>
        <w:numPr>
          <w:ilvl w:val="0"/>
          <w:numId w:val="150"/>
        </w:numPr>
      </w:pPr>
      <w:r>
        <w:t>The hiring process for an IDT research assistant is underway. </w:t>
      </w:r>
    </w:p>
    <w:p w:rsidR="00EF2775" w:rsidRDefault="00EF2775" w:rsidP="00EF2775">
      <w:pPr>
        <w:pStyle w:val="ListParagraph"/>
        <w:numPr>
          <w:ilvl w:val="0"/>
          <w:numId w:val="150"/>
        </w:numPr>
      </w:pPr>
      <w:r>
        <w:t>The IDT would like to host a conference, likely in the fall, dependent on when additional support is available (above mentioned research assistant). </w:t>
      </w:r>
    </w:p>
    <w:p w:rsidR="00EF2775" w:rsidRDefault="00EF2775" w:rsidP="00EF2775">
      <w:pPr>
        <w:pStyle w:val="ListParagraph"/>
        <w:numPr>
          <w:ilvl w:val="0"/>
          <w:numId w:val="150"/>
        </w:numPr>
      </w:pPr>
      <w:r>
        <w:t>The IDT is organizing an internal advisory made up of people from HDRN member organizations to help expand understandings of what partners are priorities across the network and to contribute to discussions that highlight HDRN priorities. The team is almost assembled, though still waiting on replies from some of the Member Organizations.  </w:t>
      </w:r>
    </w:p>
    <w:p w:rsidR="00EF2775" w:rsidRDefault="00EF2775" w:rsidP="00EF2775">
      <w:pPr>
        <w:pStyle w:val="ListParagraph"/>
        <w:numPr>
          <w:ilvl w:val="0"/>
          <w:numId w:val="150"/>
        </w:numPr>
      </w:pPr>
      <w:r>
        <w:t>The IDT lead continues to present at events and build an external network of individuals interested in Indigenous data governance. </w:t>
      </w:r>
    </w:p>
    <w:p w:rsidR="00EF2775" w:rsidRDefault="00EF2775" w:rsidP="00EF2775">
      <w:pPr>
        <w:pStyle w:val="ListParagraph"/>
        <w:numPr>
          <w:ilvl w:val="0"/>
          <w:numId w:val="150"/>
        </w:numPr>
      </w:pPr>
      <w:r>
        <w:t>The IDEA Team continues to contribute to activities at HDRN and helping to identify opportunities to embed IDEA in operations and in the data research process.</w:t>
      </w:r>
    </w:p>
    <w:p w:rsidR="00EF2775" w:rsidRDefault="00EF2775" w:rsidP="00EF2775">
      <w:pPr>
        <w:pStyle w:val="ListParagraph"/>
        <w:numPr>
          <w:ilvl w:val="0"/>
          <w:numId w:val="150"/>
        </w:numPr>
      </w:pPr>
      <w:r>
        <w:t>Work continues on the Accessible Information Strategy, with accessible pdf and docx templates in production and an accessible logo in consultation stages with the original logo designers. Training on accessibility will continue into the next quarter. </w:t>
      </w:r>
    </w:p>
    <w:p w:rsidR="00EF2775" w:rsidRDefault="00EF2775" w:rsidP="00EF2775">
      <w:pPr>
        <w:pStyle w:val="ListParagraph"/>
        <w:numPr>
          <w:ilvl w:val="0"/>
          <w:numId w:val="150"/>
        </w:numPr>
      </w:pPr>
      <w:r>
        <w:t>The IDEA Lead will host a panel on IDEA at the upcoming CAHSPR conference. The focus will be on the IDEA and IDT work underway along with work in progress at HDRN Canada Member Organizations.</w:t>
      </w:r>
    </w:p>
    <w:p w:rsidR="00EF2775" w:rsidRDefault="00EF2775" w:rsidP="00EF2775">
      <w:pPr>
        <w:pStyle w:val="ListParagraph"/>
        <w:numPr>
          <w:ilvl w:val="0"/>
          <w:numId w:val="150"/>
        </w:numPr>
      </w:pPr>
      <w:r>
        <w:t>An abstract on IDEA @ HDRN has been submitted to the upcoming IPDLN conference (September 2022)</w:t>
      </w:r>
    </w:p>
    <w:p w:rsidR="00EF2775" w:rsidRDefault="00EF2775" w:rsidP="00EF2775">
      <w:pPr>
        <w:pStyle w:val="ListParagraph"/>
        <w:numPr>
          <w:ilvl w:val="0"/>
          <w:numId w:val="150"/>
        </w:numPr>
      </w:pPr>
      <w:r>
        <w:t>The IDEA Team is preparing two publications, with the goal of submitting to peer reviewed journals by June 2022</w:t>
      </w:r>
    </w:p>
    <w:p w:rsidR="00EF2775" w:rsidRDefault="00EF2775" w:rsidP="00EF2775">
      <w:pPr>
        <w:pStyle w:val="ListParagraph"/>
        <w:numPr>
          <w:ilvl w:val="0"/>
          <w:numId w:val="150"/>
        </w:numPr>
      </w:pPr>
      <w:r>
        <w:lastRenderedPageBreak/>
        <w:t>The IDEA Team is preparing an introductory resource guide for all HDRN staff, Leads, and Exec which will be released in fall 2022. </w:t>
      </w:r>
    </w:p>
    <w:p w:rsidR="00707EB3" w:rsidRPr="00937003" w:rsidRDefault="00707EB3" w:rsidP="00707EB3">
      <w:pPr>
        <w:pStyle w:val="Heading3"/>
      </w:pPr>
      <w:bookmarkStart w:id="28" w:name="_Toc140483562"/>
      <w:r w:rsidRPr="00937003">
        <w:t>Challenges</w:t>
      </w:r>
      <w:bookmarkEnd w:id="28"/>
      <w:r w:rsidRPr="00937003">
        <w:t xml:space="preserve"> </w:t>
      </w:r>
    </w:p>
    <w:p w:rsidR="00EF2775" w:rsidRDefault="00EF2775" w:rsidP="00EF2775">
      <w:pPr>
        <w:pStyle w:val="ListParagraph"/>
        <w:numPr>
          <w:ilvl w:val="0"/>
          <w:numId w:val="153"/>
        </w:numPr>
      </w:pPr>
      <w:r>
        <w:t>There is significant work to be done in order to embed de-colonial data principles throughout the network. Project potential, grant opportunities, and other ways to contribute to the capacity of Nations is increasing regularly. Greater capacity and more experts in this field are needed in order to do more. As mentioned above, a hiring process is underway to support IDT work. Further support will be needed.</w:t>
      </w:r>
    </w:p>
    <w:p w:rsidR="00EF2775" w:rsidRDefault="00EF2775" w:rsidP="00EF2775">
      <w:pPr>
        <w:pStyle w:val="ListParagraph"/>
        <w:numPr>
          <w:ilvl w:val="0"/>
          <w:numId w:val="153"/>
        </w:numPr>
      </w:pPr>
      <w:r>
        <w:t>The IDEA Team includes 20+ members with a broad range of knowledge and expertise, with some coming from an operations background and others from a data or research background. Facilitating and channeling a group of this size remains a challenge. Immediate needs include finding common ground regarding IDEA concepts and definitions and applying those as we create principles for working together. </w:t>
      </w:r>
    </w:p>
    <w:p w:rsidR="00EF2775" w:rsidRDefault="00EF2775" w:rsidP="00EF2775">
      <w:pPr>
        <w:pStyle w:val="ListParagraph"/>
        <w:numPr>
          <w:ilvl w:val="0"/>
          <w:numId w:val="153"/>
        </w:numPr>
      </w:pPr>
      <w:r>
        <w:t>There remains a significant number of identified projects to be acted on to embed IDEA throughout HDRN Canada. Beyond the IDEA Lead, dedicated time and attention remain at a premium and are needed in order to pursue new deliverables/grant funding/educational opportunities. Additional resources may be needed. </w:t>
      </w:r>
    </w:p>
    <w:p w:rsidR="00EF2775" w:rsidRDefault="00EF2775" w:rsidP="00EF2775">
      <w:pPr>
        <w:pStyle w:val="ListParagraph"/>
        <w:numPr>
          <w:ilvl w:val="0"/>
          <w:numId w:val="153"/>
        </w:numPr>
      </w:pPr>
      <w:r>
        <w:t>While there is a sufficient understanding of IDEA in relation to operational functions across the network (i.e., hiring, policies, etc.) a broader understanding of how IDEA relates technical processes and assumptions about data research and researchers is needed. A plan to address this is in development, but dedicated time and commitment is needed to find HDRN Canada’s place in these conversations. </w:t>
      </w:r>
    </w:p>
    <w:p w:rsidR="00707EB3" w:rsidRPr="00707EB3" w:rsidRDefault="00707EB3" w:rsidP="00707EB3">
      <w:pPr>
        <w:pStyle w:val="Heading3"/>
      </w:pPr>
      <w:bookmarkStart w:id="29" w:name="_Toc140483563"/>
      <w:r w:rsidRPr="00707EB3">
        <w:t>Risks</w:t>
      </w:r>
      <w:bookmarkEnd w:id="29"/>
    </w:p>
    <w:p w:rsidR="00825DC9" w:rsidRPr="00EF2775" w:rsidRDefault="00EF2775" w:rsidP="00EF2775">
      <w:pPr>
        <w:pStyle w:val="ListParagraph"/>
        <w:numPr>
          <w:ilvl w:val="0"/>
          <w:numId w:val="155"/>
        </w:numPr>
      </w:pPr>
      <w:r>
        <w:t xml:space="preserve">It is fundamentally important to be certain that we are doing Indigenous-related work in a way that is considerate of the time needed to do it well. Decisions for whether and how to move forward must come from Indigenous Peoples- this requires a deep involvement and knowledge from Indigenous Nations.  </w:t>
      </w:r>
    </w:p>
    <w:p w:rsidR="00707EB3" w:rsidRPr="00FA7BE3" w:rsidRDefault="00707EB3" w:rsidP="00707EB3">
      <w:pPr>
        <w:pStyle w:val="Heading2"/>
      </w:pPr>
      <w:bookmarkStart w:id="30" w:name="_Toc140483564"/>
      <w:r w:rsidRPr="00FA7BE3">
        <w:lastRenderedPageBreak/>
        <w:t>Success Factor: Cohesive Network with Effective and Sustainable Operations</w:t>
      </w:r>
      <w:bookmarkEnd w:id="30"/>
    </w:p>
    <w:p w:rsidR="00707EB3" w:rsidRPr="00FA7BE3" w:rsidRDefault="00707EB3" w:rsidP="00707EB3">
      <w:pPr>
        <w:pStyle w:val="Heading3"/>
      </w:pPr>
      <w:bookmarkStart w:id="31" w:name="_Toc140483565"/>
      <w:r w:rsidRPr="00FA7BE3">
        <w:t>Key developments since last meeting</w:t>
      </w:r>
      <w:bookmarkEnd w:id="31"/>
    </w:p>
    <w:p w:rsidR="00EF2775" w:rsidRDefault="00EF2775" w:rsidP="00EF2775">
      <w:pPr>
        <w:pStyle w:val="ListParagraph"/>
        <w:numPr>
          <w:ilvl w:val="0"/>
          <w:numId w:val="155"/>
        </w:numPr>
      </w:pPr>
      <w:r>
        <w:t>Following HDRN Canada’s application to the Canadian Foundation for Innovation (CFI)’s Major Science Initiative opportunity in February, HDRN Canada and all other applicants have been asked to develop scenarios with cuts of 15% and 30% to the proposed project budget. This is in response to CFI receiving more applications than it is able to fund at the full amount. HDRN Canada has 3 meetings in late April with CFI to discuss our applications and how the budget cuts would impact the network. One of the meetings focuses on management, one on scientific excellence, and one is between the Board Chair and CFI.</w:t>
      </w:r>
    </w:p>
    <w:p w:rsidR="00EF2775" w:rsidRDefault="00EF2775" w:rsidP="00EF2775">
      <w:pPr>
        <w:pStyle w:val="ListParagraph"/>
        <w:numPr>
          <w:ilvl w:val="0"/>
          <w:numId w:val="155"/>
        </w:numPr>
      </w:pPr>
      <w:r>
        <w:t>In collaboration with the Modelling and Informatics Group (MIG), The DASH has identified projects in which site behavior is variable in relation to data placement within a trusted environment and subsequent analysis. Presently, it is assumed that data placement is complete before analysis takes place. However, some sites employ an iterative approach in which data placement and analysis go in cycles. In addition, DASH and sites need to follow resource use when sites are involved in analysis on behalf of the researchers.</w:t>
      </w:r>
    </w:p>
    <w:p w:rsidR="00EF2775" w:rsidRDefault="00EF2775" w:rsidP="00EF2775">
      <w:pPr>
        <w:pStyle w:val="ListParagraph"/>
        <w:numPr>
          <w:ilvl w:val="0"/>
          <w:numId w:val="155"/>
        </w:numPr>
      </w:pPr>
      <w:r>
        <w:t xml:space="preserve">A major tool for building Data Assembly Plans is the DASH Information Item Dictionary. This has yet to be formally realized, but the contents of this are expected to be provided by researchers’ project data requirements, although initial priming of the resource could take place through the data </w:t>
      </w:r>
      <w:proofErr w:type="spellStart"/>
      <w:r>
        <w:t>centres</w:t>
      </w:r>
      <w:proofErr w:type="spellEnd"/>
      <w:r>
        <w:t>. Information items consist of things like: ‘date of birth’, ‘diagnosis code’, ‘healthcare facility code’, ‘medication dose’, but without any reference to how any of these items are encoded as data. A key issue is how information items are defined and organized. Researcher and site input will be essential, but appeals may be made to existing ontologies, semantics associated with recognized common data models, or more ad-hoc arrangements such as the category labels being developed through the AHD Semantic Labelling program for the Data Assets Inventory. Recent working group decisions indicate that these (multiple) methods of organization will need to be supported. </w:t>
      </w:r>
    </w:p>
    <w:p w:rsidR="00707EB3" w:rsidRPr="00FA7BE3" w:rsidRDefault="00707EB3" w:rsidP="00707EB3">
      <w:pPr>
        <w:pStyle w:val="Heading3"/>
      </w:pPr>
      <w:bookmarkStart w:id="32" w:name="_Toc140483566"/>
      <w:r w:rsidRPr="00FA7BE3">
        <w:lastRenderedPageBreak/>
        <w:t>Successes</w:t>
      </w:r>
      <w:bookmarkEnd w:id="32"/>
    </w:p>
    <w:p w:rsidR="00EF2775" w:rsidRDefault="00EF2775" w:rsidP="00EF2775">
      <w:pPr>
        <w:pStyle w:val="ListParagraph"/>
        <w:numPr>
          <w:ilvl w:val="0"/>
          <w:numId w:val="158"/>
        </w:numPr>
      </w:pPr>
      <w:r>
        <w:t>A draft of the Charity Application has been completed and is being sent to HDRN Canada's lawyers for clarification of some language and review before final submission.</w:t>
      </w:r>
    </w:p>
    <w:p w:rsidR="00707EB3" w:rsidRPr="00FA7BE3" w:rsidRDefault="00707EB3" w:rsidP="00707EB3">
      <w:pPr>
        <w:pStyle w:val="Heading3"/>
      </w:pPr>
      <w:bookmarkStart w:id="33" w:name="_Toc140483567"/>
      <w:r w:rsidRPr="00FA7BE3">
        <w:t>Challenges</w:t>
      </w:r>
      <w:bookmarkEnd w:id="33"/>
      <w:r w:rsidRPr="00FA7BE3">
        <w:t xml:space="preserve"> </w:t>
      </w:r>
    </w:p>
    <w:p w:rsidR="00EF2775" w:rsidRDefault="00EF2775" w:rsidP="00EF2775">
      <w:pPr>
        <w:pStyle w:val="ListParagraph"/>
        <w:numPr>
          <w:ilvl w:val="0"/>
          <w:numId w:val="158"/>
        </w:numPr>
      </w:pPr>
      <w:r>
        <w:t>The above developments related to data placement within a trusted environment potentially place new requirements on the later parts of the data access workflow model. Further discussion is needed to solidify these requirements and from there establish whether any model changes are needed.</w:t>
      </w:r>
    </w:p>
    <w:p w:rsidR="00EF2775" w:rsidRDefault="00EF2775" w:rsidP="00EF2775">
      <w:pPr>
        <w:pStyle w:val="ListParagraph"/>
        <w:numPr>
          <w:ilvl w:val="0"/>
          <w:numId w:val="158"/>
        </w:numPr>
      </w:pPr>
      <w:r>
        <w:t>MIG responds to decisions and outputs coming from all work groups. From a modelling perspective, a coherent set of models is essential and necessitates cross-workgroup efforts at resolution of various issues.</w:t>
      </w:r>
    </w:p>
    <w:p w:rsidR="00707EB3" w:rsidRPr="00FA7BE3" w:rsidRDefault="00707EB3" w:rsidP="00707EB3">
      <w:pPr>
        <w:pStyle w:val="Heading3"/>
      </w:pPr>
      <w:bookmarkStart w:id="34" w:name="_Toc140483568"/>
      <w:r w:rsidRPr="00FA7BE3">
        <w:t>Risks</w:t>
      </w:r>
      <w:bookmarkEnd w:id="34"/>
    </w:p>
    <w:p w:rsidR="00707EB3" w:rsidRPr="00A903A9" w:rsidRDefault="00707EB3" w:rsidP="00707EB3">
      <w:pPr>
        <w:pStyle w:val="ListParagraph"/>
        <w:numPr>
          <w:ilvl w:val="0"/>
          <w:numId w:val="103"/>
        </w:numPr>
      </w:pPr>
      <w:r>
        <w:t>None identified at this time</w:t>
      </w:r>
    </w:p>
    <w:p w:rsidR="00707EB3" w:rsidRPr="000E0232" w:rsidRDefault="00707EB3" w:rsidP="00825DC9">
      <w:pPr>
        <w:pStyle w:val="Heading2"/>
        <w:spacing w:before="120"/>
      </w:pPr>
      <w:bookmarkStart w:id="35" w:name="_Toc140483569"/>
      <w:r w:rsidRPr="000E0232">
        <w:t>Success Factor: Supportive and Engaged Legislative and Policy Ecosystem and Community of Data Users</w:t>
      </w:r>
      <w:bookmarkEnd w:id="35"/>
    </w:p>
    <w:p w:rsidR="00707EB3" w:rsidRPr="000E0232" w:rsidRDefault="00707EB3" w:rsidP="00707EB3">
      <w:pPr>
        <w:pStyle w:val="Heading3"/>
      </w:pPr>
      <w:bookmarkStart w:id="36" w:name="_Toc140483570"/>
      <w:r w:rsidRPr="000E0232">
        <w:t>Key developments and successes since last meeting</w:t>
      </w:r>
      <w:bookmarkEnd w:id="36"/>
    </w:p>
    <w:p w:rsidR="00EF2775" w:rsidRDefault="00EF2775" w:rsidP="00EF2775">
      <w:pPr>
        <w:pStyle w:val="ListParagraph"/>
        <w:numPr>
          <w:ilvl w:val="0"/>
          <w:numId w:val="103"/>
        </w:numPr>
      </w:pPr>
      <w:r>
        <w:t>The inaugural Data Platforms and Services Community of Practice (COP) meeting was held on April 4</w:t>
      </w:r>
      <w:r w:rsidRPr="00EF2775">
        <w:rPr>
          <w:vertAlign w:val="superscript"/>
        </w:rPr>
        <w:t>th</w:t>
      </w:r>
      <w:r>
        <w:t xml:space="preserve"> that HDRN Canada is leading together with the SPOR SUPPORT Unit Council. The meeting included discussion of the COP's terms of reference, creating an HDRN Canada Cyber Security Team and Cyber Attack Case Studies. </w:t>
      </w:r>
    </w:p>
    <w:p w:rsidR="00EF2775" w:rsidRDefault="00EF2775" w:rsidP="00EF2775">
      <w:pPr>
        <w:pStyle w:val="ListParagraph"/>
        <w:numPr>
          <w:ilvl w:val="0"/>
          <w:numId w:val="103"/>
        </w:numPr>
      </w:pPr>
      <w:r>
        <w:t>The fourth meeting of the SPOR CDP Advisory Committee took place on February 24</w:t>
      </w:r>
      <w:r w:rsidRPr="00EF2775">
        <w:rPr>
          <w:vertAlign w:val="superscript"/>
        </w:rPr>
        <w:t>th</w:t>
      </w:r>
      <w:r>
        <w:t>.</w:t>
      </w:r>
    </w:p>
    <w:p w:rsidR="00707EB3" w:rsidRPr="000E0232" w:rsidRDefault="00707EB3" w:rsidP="00707EB3">
      <w:pPr>
        <w:pStyle w:val="Heading3"/>
      </w:pPr>
      <w:bookmarkStart w:id="37" w:name="_Toc140483571"/>
      <w:r w:rsidRPr="000E0232">
        <w:t>Challenges and Risks</w:t>
      </w:r>
      <w:bookmarkEnd w:id="37"/>
    </w:p>
    <w:p w:rsidR="00EF2775" w:rsidRPr="00EF2775" w:rsidRDefault="00707EB3" w:rsidP="00EF2775">
      <w:pPr>
        <w:pStyle w:val="ListParagraph"/>
        <w:numPr>
          <w:ilvl w:val="0"/>
          <w:numId w:val="102"/>
        </w:numPr>
      </w:pPr>
      <w:r w:rsidRPr="00A903A9">
        <w:t>None identified at this time</w:t>
      </w:r>
      <w:r w:rsidR="00EF2775">
        <w:t>.</w:t>
      </w:r>
    </w:p>
    <w:sectPr w:rsidR="00EF2775" w:rsidRPr="00EF2775" w:rsidSect="00EF2775">
      <w:headerReference w:type="default" r:id="rId14"/>
      <w:footerReference w:type="default" r:id="rId15"/>
      <w:pgSz w:w="12240" w:h="15840"/>
      <w:pgMar w:top="1660" w:right="1320" w:bottom="1420" w:left="1320" w:header="720" w:footer="9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4F00" w:rsidRDefault="00554F00" w:rsidP="0084591A">
      <w:pPr>
        <w:spacing w:after="0" w:line="240" w:lineRule="auto"/>
      </w:pPr>
      <w:r>
        <w:separator/>
      </w:r>
    </w:p>
    <w:p w:rsidR="00554F00" w:rsidRDefault="00554F00"/>
  </w:endnote>
  <w:endnote w:type="continuationSeparator" w:id="0">
    <w:p w:rsidR="00554F00" w:rsidRDefault="00554F00" w:rsidP="0084591A">
      <w:pPr>
        <w:spacing w:after="0" w:line="240" w:lineRule="auto"/>
      </w:pPr>
      <w:r>
        <w:continuationSeparator/>
      </w:r>
    </w:p>
    <w:p w:rsidR="00554F00" w:rsidRDefault="00554F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panose1 w:val="020B0604020202020204"/>
    <w:charset w:val="00"/>
    <w:family w:val="auto"/>
    <w:pitch w:val="default"/>
  </w:font>
  <w:font w:name="Lato">
    <w:panose1 w:val="020F0502020204030203"/>
    <w:charset w:val="4D"/>
    <w:family w:val="swiss"/>
    <w:pitch w:val="variable"/>
    <w:sig w:usb0="800000AF" w:usb1="4000604A" w:usb2="00000000" w:usb3="00000000" w:csb0="00000093"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2556945"/>
      <w:docPartObj>
        <w:docPartGallery w:val="Page Numbers (Bottom of Page)"/>
        <w:docPartUnique/>
      </w:docPartObj>
    </w:sdtPr>
    <w:sdtContent>
      <w:p w:rsidR="00EF2775" w:rsidRDefault="00EF2775" w:rsidP="00887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EF2775" w:rsidRDefault="00EF2775" w:rsidP="00EF27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96204"/>
      <w:docPartObj>
        <w:docPartGallery w:val="Page Numbers (Bottom of Page)"/>
        <w:docPartUnique/>
      </w:docPartObj>
    </w:sdtPr>
    <w:sdtContent>
      <w:p w:rsidR="00EF2775" w:rsidRDefault="00EF2775" w:rsidP="00887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rsidR="00707EB3" w:rsidRDefault="00707EB3" w:rsidP="00EF2775">
    <w:pPr>
      <w:spacing w:line="14" w:lineRule="auto"/>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668133"/>
      <w:docPartObj>
        <w:docPartGallery w:val="Page Numbers (Bottom of Page)"/>
        <w:docPartUnique/>
      </w:docPartObj>
    </w:sdtPr>
    <w:sdtContent>
      <w:p w:rsidR="0081034D" w:rsidRDefault="0081034D" w:rsidP="00887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rsidR="006F565E" w:rsidRDefault="006F56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4F00" w:rsidRDefault="00554F00" w:rsidP="0084591A">
      <w:pPr>
        <w:spacing w:after="0" w:line="240" w:lineRule="auto"/>
      </w:pPr>
      <w:r>
        <w:separator/>
      </w:r>
    </w:p>
    <w:p w:rsidR="00554F00" w:rsidRDefault="00554F00"/>
  </w:footnote>
  <w:footnote w:type="continuationSeparator" w:id="0">
    <w:p w:rsidR="00554F00" w:rsidRDefault="00554F00" w:rsidP="0084591A">
      <w:pPr>
        <w:spacing w:after="0" w:line="240" w:lineRule="auto"/>
      </w:pPr>
      <w:r>
        <w:continuationSeparator/>
      </w:r>
    </w:p>
    <w:p w:rsidR="00554F00" w:rsidRDefault="00554F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7EB3" w:rsidRDefault="00707EB3">
    <w:pPr>
      <w:pStyle w:val="Header"/>
    </w:pPr>
    <w:r>
      <w:rPr>
        <w:noProof/>
        <w14:ligatures w14:val="standardContextual"/>
      </w:rPr>
      <w:drawing>
        <wp:anchor distT="0" distB="0" distL="114300" distR="114300" simplePos="0" relativeHeight="251665408" behindDoc="0" locked="0" layoutInCell="1" allowOverlap="1" wp14:anchorId="4AE1B320" wp14:editId="4FA1AD4A">
          <wp:simplePos x="0" y="0"/>
          <wp:positionH relativeFrom="margin">
            <wp:posOffset>-179705</wp:posOffset>
          </wp:positionH>
          <wp:positionV relativeFrom="margin">
            <wp:posOffset>-749993</wp:posOffset>
          </wp:positionV>
          <wp:extent cx="3134239" cy="744071"/>
          <wp:effectExtent l="0" t="0" r="0" b="0"/>
          <wp:wrapSquare wrapText="bothSides"/>
          <wp:docPr id="1722325193" name="Picture 17223251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97199"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34239" cy="74407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565E" w:rsidRDefault="00DF021C" w:rsidP="00B62574">
    <w:pPr>
      <w:pStyle w:val="Header"/>
    </w:pPr>
    <w:r>
      <w:rPr>
        <w:noProof/>
        <w14:ligatures w14:val="standardContextual"/>
      </w:rPr>
      <w:drawing>
        <wp:anchor distT="0" distB="0" distL="114300" distR="114300" simplePos="0" relativeHeight="251658240" behindDoc="0" locked="0" layoutInCell="1" allowOverlap="1">
          <wp:simplePos x="0" y="0"/>
          <wp:positionH relativeFrom="margin">
            <wp:posOffset>-181233</wp:posOffset>
          </wp:positionH>
          <wp:positionV relativeFrom="margin">
            <wp:posOffset>-743585</wp:posOffset>
          </wp:positionV>
          <wp:extent cx="3134239" cy="744071"/>
          <wp:effectExtent l="0" t="0" r="0" b="0"/>
          <wp:wrapSquare wrapText="bothSides"/>
          <wp:docPr id="670395159" name="Picture 670395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97199"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34239" cy="7440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A88"/>
    <w:multiLevelType w:val="hybridMultilevel"/>
    <w:tmpl w:val="A8740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F1476"/>
    <w:multiLevelType w:val="hybridMultilevel"/>
    <w:tmpl w:val="39BEB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6E2860"/>
    <w:multiLevelType w:val="hybridMultilevel"/>
    <w:tmpl w:val="0288758E"/>
    <w:lvl w:ilvl="0" w:tplc="6DACB72C">
      <w:numFmt w:val="bullet"/>
      <w:lvlText w:val="-"/>
      <w:lvlJc w:val="left"/>
      <w:pPr>
        <w:ind w:left="720" w:hanging="360"/>
      </w:pPr>
      <w:rPr>
        <w:rFonts w:ascii="Arial" w:eastAsia="Arial Unicode MS" w:hAnsi="Arial" w:cs="Arial" w:hint="default"/>
      </w:rPr>
    </w:lvl>
    <w:lvl w:ilvl="1" w:tplc="FFFFFFFF">
      <w:numFmt w:val="bullet"/>
      <w:lvlText w:val="-"/>
      <w:lvlJc w:val="left"/>
      <w:pPr>
        <w:ind w:left="1800" w:hanging="360"/>
      </w:pPr>
      <w:rPr>
        <w:rFonts w:ascii="Arial" w:eastAsia="Arial Unicode MS" w:hAnsi="Arial" w:cs="Aria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59B380D"/>
    <w:multiLevelType w:val="hybridMultilevel"/>
    <w:tmpl w:val="386277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D75B9"/>
    <w:multiLevelType w:val="hybridMultilevel"/>
    <w:tmpl w:val="1C1A80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DD563E"/>
    <w:multiLevelType w:val="hybridMultilevel"/>
    <w:tmpl w:val="42262F3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C0673"/>
    <w:multiLevelType w:val="hybridMultilevel"/>
    <w:tmpl w:val="0E8210AA"/>
    <w:lvl w:ilvl="0" w:tplc="91F618F2">
      <w:start w:val="1"/>
      <w:numFmt w:val="bullet"/>
      <w:lvlText w:val=""/>
      <w:lvlJc w:val="left"/>
      <w:pPr>
        <w:ind w:left="361" w:hanging="361"/>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4C1B6B"/>
    <w:multiLevelType w:val="multilevel"/>
    <w:tmpl w:val="333AC3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B631217"/>
    <w:multiLevelType w:val="hybridMultilevel"/>
    <w:tmpl w:val="3DB2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3D2BFC"/>
    <w:multiLevelType w:val="hybridMultilevel"/>
    <w:tmpl w:val="624213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C7B0B17"/>
    <w:multiLevelType w:val="hybridMultilevel"/>
    <w:tmpl w:val="22A8E9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8B70B9"/>
    <w:multiLevelType w:val="hybridMultilevel"/>
    <w:tmpl w:val="E4C05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F12A8F"/>
    <w:multiLevelType w:val="hybridMultilevel"/>
    <w:tmpl w:val="CA4C47CA"/>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BB4026"/>
    <w:multiLevelType w:val="hybridMultilevel"/>
    <w:tmpl w:val="49968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F100990"/>
    <w:multiLevelType w:val="hybridMultilevel"/>
    <w:tmpl w:val="39967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F222C99"/>
    <w:multiLevelType w:val="multilevel"/>
    <w:tmpl w:val="4832173A"/>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0F3C1F8C"/>
    <w:multiLevelType w:val="multilevel"/>
    <w:tmpl w:val="01F8D93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7" w15:restartNumberingAfterBreak="0">
    <w:nsid w:val="0FCE02F4"/>
    <w:multiLevelType w:val="hybridMultilevel"/>
    <w:tmpl w:val="DF30C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05C5148"/>
    <w:multiLevelType w:val="hybridMultilevel"/>
    <w:tmpl w:val="0E682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08B5EC1"/>
    <w:multiLevelType w:val="multilevel"/>
    <w:tmpl w:val="C59C68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10E717EA"/>
    <w:multiLevelType w:val="hybridMultilevel"/>
    <w:tmpl w:val="32D225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0F83DE0"/>
    <w:multiLevelType w:val="hybridMultilevel"/>
    <w:tmpl w:val="FC4462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B047FF"/>
    <w:multiLevelType w:val="hybridMultilevel"/>
    <w:tmpl w:val="F948F71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12AD25CB"/>
    <w:multiLevelType w:val="multilevel"/>
    <w:tmpl w:val="12CEC194"/>
    <w:lvl w:ilvl="0">
      <w:numFmt w:val="bullet"/>
      <w:lvlText w:val="●"/>
      <w:lvlJc w:val="left"/>
      <w:pPr>
        <w:ind w:left="659" w:hanging="359"/>
      </w:pPr>
      <w:rPr>
        <w:rFonts w:ascii="Noto Sans Symbols" w:eastAsia="Noto Sans Symbols" w:hAnsi="Noto Sans Symbols" w:cs="Noto Sans Symbols"/>
        <w:b w:val="0"/>
        <w:i w:val="0"/>
        <w:sz w:val="20"/>
        <w:szCs w:val="20"/>
      </w:rPr>
    </w:lvl>
    <w:lvl w:ilvl="1">
      <w:numFmt w:val="bullet"/>
      <w:lvlText w:val="●"/>
      <w:lvlJc w:val="left"/>
      <w:pPr>
        <w:ind w:left="844" w:hanging="360"/>
      </w:pPr>
      <w:rPr>
        <w:rFonts w:ascii="Noto Sans Symbols" w:eastAsia="Noto Sans Symbols" w:hAnsi="Noto Sans Symbols" w:cs="Noto Sans Symbols"/>
        <w:b w:val="0"/>
        <w:i w:val="0"/>
        <w:sz w:val="22"/>
        <w:szCs w:val="22"/>
      </w:rPr>
    </w:lvl>
    <w:lvl w:ilvl="2">
      <w:numFmt w:val="bullet"/>
      <w:lvlText w:val="o"/>
      <w:lvlJc w:val="left"/>
      <w:pPr>
        <w:ind w:left="1559" w:hanging="361"/>
      </w:pPr>
      <w:rPr>
        <w:rFonts w:ascii="Courier New" w:eastAsia="Courier New" w:hAnsi="Courier New" w:cs="Courier New"/>
        <w:b w:val="0"/>
        <w:i w:val="0"/>
        <w:sz w:val="22"/>
        <w:szCs w:val="22"/>
      </w:rPr>
    </w:lvl>
    <w:lvl w:ilvl="3">
      <w:numFmt w:val="bullet"/>
      <w:lvlText w:val="•"/>
      <w:lvlJc w:val="left"/>
      <w:pPr>
        <w:ind w:left="2565" w:hanging="361"/>
      </w:pPr>
    </w:lvl>
    <w:lvl w:ilvl="4">
      <w:numFmt w:val="bullet"/>
      <w:lvlText w:val="•"/>
      <w:lvlJc w:val="left"/>
      <w:pPr>
        <w:ind w:left="3570" w:hanging="361"/>
      </w:pPr>
    </w:lvl>
    <w:lvl w:ilvl="5">
      <w:numFmt w:val="bullet"/>
      <w:lvlText w:val="•"/>
      <w:lvlJc w:val="left"/>
      <w:pPr>
        <w:ind w:left="4575" w:hanging="361"/>
      </w:pPr>
    </w:lvl>
    <w:lvl w:ilvl="6">
      <w:numFmt w:val="bullet"/>
      <w:lvlText w:val="•"/>
      <w:lvlJc w:val="left"/>
      <w:pPr>
        <w:ind w:left="5580" w:hanging="361"/>
      </w:pPr>
    </w:lvl>
    <w:lvl w:ilvl="7">
      <w:numFmt w:val="bullet"/>
      <w:lvlText w:val="•"/>
      <w:lvlJc w:val="left"/>
      <w:pPr>
        <w:ind w:left="6585" w:hanging="361"/>
      </w:pPr>
    </w:lvl>
    <w:lvl w:ilvl="8">
      <w:numFmt w:val="bullet"/>
      <w:lvlText w:val="•"/>
      <w:lvlJc w:val="left"/>
      <w:pPr>
        <w:ind w:left="7590" w:hanging="361"/>
      </w:pPr>
    </w:lvl>
  </w:abstractNum>
  <w:abstractNum w:abstractNumId="24" w15:restartNumberingAfterBreak="0">
    <w:nsid w:val="15115753"/>
    <w:multiLevelType w:val="hybridMultilevel"/>
    <w:tmpl w:val="8F98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6F75AA"/>
    <w:multiLevelType w:val="hybridMultilevel"/>
    <w:tmpl w:val="8FAAFE7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16BC57C0"/>
    <w:multiLevelType w:val="multilevel"/>
    <w:tmpl w:val="4532F1A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7" w15:restartNumberingAfterBreak="0">
    <w:nsid w:val="17B361B5"/>
    <w:multiLevelType w:val="hybridMultilevel"/>
    <w:tmpl w:val="6FA45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8A10E45"/>
    <w:multiLevelType w:val="multilevel"/>
    <w:tmpl w:val="1A36F1C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9" w15:restartNumberingAfterBreak="0">
    <w:nsid w:val="190B76D3"/>
    <w:multiLevelType w:val="hybridMultilevel"/>
    <w:tmpl w:val="94922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B3B635C"/>
    <w:multiLevelType w:val="hybridMultilevel"/>
    <w:tmpl w:val="39BE7E2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BF70E35"/>
    <w:multiLevelType w:val="multilevel"/>
    <w:tmpl w:val="8CC8613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2" w15:restartNumberingAfterBreak="0">
    <w:nsid w:val="1C341A9A"/>
    <w:multiLevelType w:val="hybridMultilevel"/>
    <w:tmpl w:val="7EAC33B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1CBF00BD"/>
    <w:multiLevelType w:val="hybridMultilevel"/>
    <w:tmpl w:val="20FA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CD84010"/>
    <w:multiLevelType w:val="hybridMultilevel"/>
    <w:tmpl w:val="DAD0DE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E16738E"/>
    <w:multiLevelType w:val="hybridMultilevel"/>
    <w:tmpl w:val="B38EE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EA425F9"/>
    <w:multiLevelType w:val="hybridMultilevel"/>
    <w:tmpl w:val="F0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EED129F"/>
    <w:multiLevelType w:val="hybridMultilevel"/>
    <w:tmpl w:val="36B669D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1F203DFD"/>
    <w:multiLevelType w:val="hybridMultilevel"/>
    <w:tmpl w:val="BD9EFEC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206C7B69"/>
    <w:multiLevelType w:val="multilevel"/>
    <w:tmpl w:val="69D8FC78"/>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229320E4"/>
    <w:multiLevelType w:val="hybridMultilevel"/>
    <w:tmpl w:val="1B84D57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22FB221F"/>
    <w:multiLevelType w:val="hybridMultilevel"/>
    <w:tmpl w:val="63F0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4EA52BF"/>
    <w:multiLevelType w:val="hybridMultilevel"/>
    <w:tmpl w:val="839C6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5915247"/>
    <w:multiLevelType w:val="hybridMultilevel"/>
    <w:tmpl w:val="0B2625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6151EF8"/>
    <w:multiLevelType w:val="hybridMultilevel"/>
    <w:tmpl w:val="776A77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626269F"/>
    <w:multiLevelType w:val="multilevel"/>
    <w:tmpl w:val="A9EEA1D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266057C4"/>
    <w:multiLevelType w:val="hybridMultilevel"/>
    <w:tmpl w:val="A0F69938"/>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7" w15:restartNumberingAfterBreak="0">
    <w:nsid w:val="2714553A"/>
    <w:multiLevelType w:val="hybridMultilevel"/>
    <w:tmpl w:val="D34E0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8" w15:restartNumberingAfterBreak="0">
    <w:nsid w:val="271A3D60"/>
    <w:multiLevelType w:val="hybridMultilevel"/>
    <w:tmpl w:val="10062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84F2912"/>
    <w:multiLevelType w:val="hybridMultilevel"/>
    <w:tmpl w:val="4880A8B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0" w15:restartNumberingAfterBreak="0">
    <w:nsid w:val="285E5047"/>
    <w:multiLevelType w:val="hybridMultilevel"/>
    <w:tmpl w:val="12D60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28AE6064"/>
    <w:multiLevelType w:val="hybridMultilevel"/>
    <w:tmpl w:val="705A86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2910033B"/>
    <w:multiLevelType w:val="hybridMultilevel"/>
    <w:tmpl w:val="1BE22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2AEC5610"/>
    <w:multiLevelType w:val="hybridMultilevel"/>
    <w:tmpl w:val="CBAC3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2B255FA6"/>
    <w:multiLevelType w:val="multilevel"/>
    <w:tmpl w:val="506C8F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2B96462B"/>
    <w:multiLevelType w:val="hybridMultilevel"/>
    <w:tmpl w:val="6C289C6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2C614D9E"/>
    <w:multiLevelType w:val="multilevel"/>
    <w:tmpl w:val="E1D2C3D4"/>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15:restartNumberingAfterBreak="0">
    <w:nsid w:val="2EE96C7A"/>
    <w:multiLevelType w:val="hybridMultilevel"/>
    <w:tmpl w:val="9E747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36155BC"/>
    <w:multiLevelType w:val="multilevel"/>
    <w:tmpl w:val="A64099C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59" w15:restartNumberingAfterBreak="0">
    <w:nsid w:val="340D11A7"/>
    <w:multiLevelType w:val="hybridMultilevel"/>
    <w:tmpl w:val="6044A2C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0" w15:restartNumberingAfterBreak="0">
    <w:nsid w:val="354606B8"/>
    <w:multiLevelType w:val="hybridMultilevel"/>
    <w:tmpl w:val="BBF06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35595ABB"/>
    <w:multiLevelType w:val="hybridMultilevel"/>
    <w:tmpl w:val="F02204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355B33C3"/>
    <w:multiLevelType w:val="multilevel"/>
    <w:tmpl w:val="085866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3" w15:restartNumberingAfterBreak="0">
    <w:nsid w:val="35926269"/>
    <w:multiLevelType w:val="hybridMultilevel"/>
    <w:tmpl w:val="085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5D032AA"/>
    <w:multiLevelType w:val="multilevel"/>
    <w:tmpl w:val="E084AA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5" w15:restartNumberingAfterBreak="0">
    <w:nsid w:val="372B2AE3"/>
    <w:multiLevelType w:val="hybridMultilevel"/>
    <w:tmpl w:val="F4923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80B4B25"/>
    <w:multiLevelType w:val="hybridMultilevel"/>
    <w:tmpl w:val="39060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A9062D1"/>
    <w:multiLevelType w:val="hybridMultilevel"/>
    <w:tmpl w:val="85605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3B9742EC"/>
    <w:multiLevelType w:val="hybridMultilevel"/>
    <w:tmpl w:val="32124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C97290D"/>
    <w:multiLevelType w:val="multilevel"/>
    <w:tmpl w:val="0276C6A2"/>
    <w:lvl w:ilvl="0">
      <w:numFmt w:val="bullet"/>
      <w:lvlText w:val="●"/>
      <w:lvlJc w:val="left"/>
      <w:pPr>
        <w:ind w:left="480" w:hanging="361"/>
      </w:pPr>
      <w:rPr>
        <w:rFonts w:ascii="Noto Sans Symbols" w:eastAsia="Noto Sans Symbols" w:hAnsi="Noto Sans Symbols" w:cs="Noto Sans Symbols"/>
        <w:b w:val="0"/>
        <w:i w:val="0"/>
        <w:sz w:val="22"/>
        <w:szCs w:val="22"/>
      </w:rPr>
    </w:lvl>
    <w:lvl w:ilvl="1">
      <w:numFmt w:val="bullet"/>
      <w:lvlText w:val="•"/>
      <w:lvlJc w:val="left"/>
      <w:pPr>
        <w:ind w:left="1392" w:hanging="361"/>
      </w:pPr>
    </w:lvl>
    <w:lvl w:ilvl="2">
      <w:numFmt w:val="bullet"/>
      <w:lvlText w:val="•"/>
      <w:lvlJc w:val="left"/>
      <w:pPr>
        <w:ind w:left="2304" w:hanging="361"/>
      </w:pPr>
    </w:lvl>
    <w:lvl w:ilvl="3">
      <w:numFmt w:val="bullet"/>
      <w:lvlText w:val="•"/>
      <w:lvlJc w:val="left"/>
      <w:pPr>
        <w:ind w:left="3216" w:hanging="361"/>
      </w:pPr>
    </w:lvl>
    <w:lvl w:ilvl="4">
      <w:numFmt w:val="bullet"/>
      <w:lvlText w:val="•"/>
      <w:lvlJc w:val="left"/>
      <w:pPr>
        <w:ind w:left="4128" w:hanging="361"/>
      </w:pPr>
    </w:lvl>
    <w:lvl w:ilvl="5">
      <w:numFmt w:val="bullet"/>
      <w:lvlText w:val="•"/>
      <w:lvlJc w:val="left"/>
      <w:pPr>
        <w:ind w:left="5040" w:hanging="361"/>
      </w:pPr>
    </w:lvl>
    <w:lvl w:ilvl="6">
      <w:numFmt w:val="bullet"/>
      <w:lvlText w:val="•"/>
      <w:lvlJc w:val="left"/>
      <w:pPr>
        <w:ind w:left="5952" w:hanging="361"/>
      </w:pPr>
    </w:lvl>
    <w:lvl w:ilvl="7">
      <w:numFmt w:val="bullet"/>
      <w:lvlText w:val="•"/>
      <w:lvlJc w:val="left"/>
      <w:pPr>
        <w:ind w:left="6864" w:hanging="361"/>
      </w:pPr>
    </w:lvl>
    <w:lvl w:ilvl="8">
      <w:numFmt w:val="bullet"/>
      <w:lvlText w:val="•"/>
      <w:lvlJc w:val="left"/>
      <w:pPr>
        <w:ind w:left="7776" w:hanging="361"/>
      </w:pPr>
    </w:lvl>
  </w:abstractNum>
  <w:abstractNum w:abstractNumId="70" w15:restartNumberingAfterBreak="0">
    <w:nsid w:val="400A0D1F"/>
    <w:multiLevelType w:val="hybridMultilevel"/>
    <w:tmpl w:val="0D92E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40DA202F"/>
    <w:multiLevelType w:val="hybridMultilevel"/>
    <w:tmpl w:val="60F65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422C5F5E"/>
    <w:multiLevelType w:val="hybridMultilevel"/>
    <w:tmpl w:val="BAEC8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428E1524"/>
    <w:multiLevelType w:val="hybridMultilevel"/>
    <w:tmpl w:val="87D6A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42A62969"/>
    <w:multiLevelType w:val="multilevel"/>
    <w:tmpl w:val="DAC6804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75" w15:restartNumberingAfterBreak="0">
    <w:nsid w:val="456A3307"/>
    <w:multiLevelType w:val="hybridMultilevel"/>
    <w:tmpl w:val="940AB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5A467ED"/>
    <w:multiLevelType w:val="hybridMultilevel"/>
    <w:tmpl w:val="72B61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6AE3E21"/>
    <w:multiLevelType w:val="hybridMultilevel"/>
    <w:tmpl w:val="DB94444A"/>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78" w15:restartNumberingAfterBreak="0">
    <w:nsid w:val="46C655F8"/>
    <w:multiLevelType w:val="hybridMultilevel"/>
    <w:tmpl w:val="80B07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46DD3DCB"/>
    <w:multiLevelType w:val="hybridMultilevel"/>
    <w:tmpl w:val="CF301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0" w15:restartNumberingAfterBreak="0">
    <w:nsid w:val="476C30BB"/>
    <w:multiLevelType w:val="multilevel"/>
    <w:tmpl w:val="4CCED20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81" w15:restartNumberingAfterBreak="0">
    <w:nsid w:val="47B653E3"/>
    <w:multiLevelType w:val="hybridMultilevel"/>
    <w:tmpl w:val="F670E8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481D4E33"/>
    <w:multiLevelType w:val="hybridMultilevel"/>
    <w:tmpl w:val="9F12F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49575A4F"/>
    <w:multiLevelType w:val="hybridMultilevel"/>
    <w:tmpl w:val="4484E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49A179B5"/>
    <w:multiLevelType w:val="hybridMultilevel"/>
    <w:tmpl w:val="A232CF2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85" w15:restartNumberingAfterBreak="0">
    <w:nsid w:val="49E21F66"/>
    <w:multiLevelType w:val="hybridMultilevel"/>
    <w:tmpl w:val="7BBA0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49F45C9C"/>
    <w:multiLevelType w:val="multilevel"/>
    <w:tmpl w:val="28AA4A4E"/>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87" w15:restartNumberingAfterBreak="0">
    <w:nsid w:val="4A4A48F3"/>
    <w:multiLevelType w:val="hybridMultilevel"/>
    <w:tmpl w:val="CB1A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4ABA01B6"/>
    <w:multiLevelType w:val="hybridMultilevel"/>
    <w:tmpl w:val="BE567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4AC47B47"/>
    <w:multiLevelType w:val="hybridMultilevel"/>
    <w:tmpl w:val="347E363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AD5054D"/>
    <w:multiLevelType w:val="hybridMultilevel"/>
    <w:tmpl w:val="986853F6"/>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B716FC3"/>
    <w:multiLevelType w:val="hybridMultilevel"/>
    <w:tmpl w:val="A2FACB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4BBA5BFF"/>
    <w:multiLevelType w:val="hybridMultilevel"/>
    <w:tmpl w:val="0108C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4C0E01C0"/>
    <w:multiLevelType w:val="hybridMultilevel"/>
    <w:tmpl w:val="9BACB2AE"/>
    <w:lvl w:ilvl="0" w:tplc="91F618F2">
      <w:start w:val="1"/>
      <w:numFmt w:val="bullet"/>
      <w:lvlText w:val=""/>
      <w:lvlJc w:val="left"/>
      <w:pPr>
        <w:ind w:left="360" w:hanging="360"/>
      </w:pPr>
      <w:rPr>
        <w:rFonts w:ascii="Symbol" w:eastAsia="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C620D63"/>
    <w:multiLevelType w:val="hybridMultilevel"/>
    <w:tmpl w:val="623CF0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5" w15:restartNumberingAfterBreak="0">
    <w:nsid w:val="4CB6373E"/>
    <w:multiLevelType w:val="hybridMultilevel"/>
    <w:tmpl w:val="84A08A10"/>
    <w:lvl w:ilvl="0" w:tplc="91F618F2">
      <w:start w:val="1"/>
      <w:numFmt w:val="bullet"/>
      <w:lvlText w:val=""/>
      <w:lvlJc w:val="left"/>
      <w:pPr>
        <w:ind w:left="361" w:hanging="361"/>
      </w:pPr>
      <w:rPr>
        <w:rFonts w:ascii="Symbol" w:eastAsia="Symbol" w:hAnsi="Symbol" w:hint="default"/>
        <w:sz w:val="22"/>
        <w:szCs w:val="22"/>
      </w:rPr>
    </w:lvl>
    <w:lvl w:ilvl="1" w:tplc="5EAC4F90">
      <w:start w:val="1"/>
      <w:numFmt w:val="bullet"/>
      <w:lvlText w:val="o"/>
      <w:lvlJc w:val="left"/>
      <w:pPr>
        <w:ind w:left="1081" w:hanging="361"/>
      </w:pPr>
      <w:rPr>
        <w:rFonts w:ascii="Courier New" w:eastAsia="Courier New" w:hAnsi="Courier New" w:hint="default"/>
        <w:sz w:val="22"/>
        <w:szCs w:val="22"/>
      </w:rPr>
    </w:lvl>
    <w:lvl w:ilvl="2" w:tplc="BBB0E760">
      <w:start w:val="1"/>
      <w:numFmt w:val="bullet"/>
      <w:lvlText w:val="•"/>
      <w:lvlJc w:val="left"/>
      <w:pPr>
        <w:ind w:left="1100" w:hanging="361"/>
      </w:pPr>
      <w:rPr>
        <w:rFonts w:hint="default"/>
      </w:rPr>
    </w:lvl>
    <w:lvl w:ilvl="3" w:tplc="E340C9F2">
      <w:start w:val="1"/>
      <w:numFmt w:val="bullet"/>
      <w:lvlText w:val="•"/>
      <w:lvlJc w:val="left"/>
      <w:pPr>
        <w:ind w:left="1101" w:hanging="361"/>
      </w:pPr>
      <w:rPr>
        <w:rFonts w:hint="default"/>
      </w:rPr>
    </w:lvl>
    <w:lvl w:ilvl="4" w:tplc="04090003">
      <w:start w:val="1"/>
      <w:numFmt w:val="bullet"/>
      <w:lvlText w:val="o"/>
      <w:lvlJc w:val="left"/>
      <w:pPr>
        <w:ind w:left="1101" w:hanging="361"/>
      </w:pPr>
      <w:rPr>
        <w:rFonts w:ascii="Courier New" w:hAnsi="Courier New" w:cs="Courier New" w:hint="default"/>
      </w:rPr>
    </w:lvl>
    <w:lvl w:ilvl="5" w:tplc="3BF0C8EE">
      <w:start w:val="1"/>
      <w:numFmt w:val="bullet"/>
      <w:lvlText w:val="•"/>
      <w:lvlJc w:val="left"/>
      <w:pPr>
        <w:ind w:left="1102" w:hanging="361"/>
      </w:pPr>
      <w:rPr>
        <w:rFonts w:hint="default"/>
      </w:rPr>
    </w:lvl>
    <w:lvl w:ilvl="6" w:tplc="EFA8AF72">
      <w:start w:val="1"/>
      <w:numFmt w:val="bullet"/>
      <w:lvlText w:val="•"/>
      <w:lvlJc w:val="left"/>
      <w:pPr>
        <w:ind w:left="2818" w:hanging="361"/>
      </w:pPr>
      <w:rPr>
        <w:rFonts w:hint="default"/>
      </w:rPr>
    </w:lvl>
    <w:lvl w:ilvl="7" w:tplc="49E4FE40">
      <w:start w:val="1"/>
      <w:numFmt w:val="bullet"/>
      <w:lvlText w:val="•"/>
      <w:lvlJc w:val="left"/>
      <w:pPr>
        <w:ind w:left="4534" w:hanging="361"/>
      </w:pPr>
      <w:rPr>
        <w:rFonts w:hint="default"/>
      </w:rPr>
    </w:lvl>
    <w:lvl w:ilvl="8" w:tplc="855A5C02">
      <w:start w:val="1"/>
      <w:numFmt w:val="bullet"/>
      <w:lvlText w:val="•"/>
      <w:lvlJc w:val="left"/>
      <w:pPr>
        <w:ind w:left="6250" w:hanging="361"/>
      </w:pPr>
      <w:rPr>
        <w:rFonts w:hint="default"/>
      </w:rPr>
    </w:lvl>
  </w:abstractNum>
  <w:abstractNum w:abstractNumId="96" w15:restartNumberingAfterBreak="0">
    <w:nsid w:val="4DAC062B"/>
    <w:multiLevelType w:val="hybridMultilevel"/>
    <w:tmpl w:val="B384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F1D5182"/>
    <w:multiLevelType w:val="hybridMultilevel"/>
    <w:tmpl w:val="7C6CD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8" w15:restartNumberingAfterBreak="0">
    <w:nsid w:val="4FD145F5"/>
    <w:multiLevelType w:val="hybridMultilevel"/>
    <w:tmpl w:val="20585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50D37737"/>
    <w:multiLevelType w:val="hybridMultilevel"/>
    <w:tmpl w:val="B5D08A2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512A0C19"/>
    <w:multiLevelType w:val="multilevel"/>
    <w:tmpl w:val="88AA4DD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1" w15:restartNumberingAfterBreak="0">
    <w:nsid w:val="52C80D38"/>
    <w:multiLevelType w:val="hybridMultilevel"/>
    <w:tmpl w:val="BD446D9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537C13D5"/>
    <w:multiLevelType w:val="hybridMultilevel"/>
    <w:tmpl w:val="14381B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3F24297"/>
    <w:multiLevelType w:val="hybridMultilevel"/>
    <w:tmpl w:val="DB02811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4" w15:restartNumberingAfterBreak="0">
    <w:nsid w:val="54340983"/>
    <w:multiLevelType w:val="hybridMultilevel"/>
    <w:tmpl w:val="42066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54754915"/>
    <w:multiLevelType w:val="hybridMultilevel"/>
    <w:tmpl w:val="C218C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54772597"/>
    <w:multiLevelType w:val="hybridMultilevel"/>
    <w:tmpl w:val="281E9092"/>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54F62DAE"/>
    <w:multiLevelType w:val="hybridMultilevel"/>
    <w:tmpl w:val="646E4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556831C3"/>
    <w:multiLevelType w:val="hybridMultilevel"/>
    <w:tmpl w:val="9DE04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55C66598"/>
    <w:multiLevelType w:val="hybridMultilevel"/>
    <w:tmpl w:val="8D708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6A30697"/>
    <w:multiLevelType w:val="multilevel"/>
    <w:tmpl w:val="EACA043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11" w15:restartNumberingAfterBreak="0">
    <w:nsid w:val="57E9480B"/>
    <w:multiLevelType w:val="hybridMultilevel"/>
    <w:tmpl w:val="26281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58660BC3"/>
    <w:multiLevelType w:val="hybridMultilevel"/>
    <w:tmpl w:val="CEC4C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3" w15:restartNumberingAfterBreak="0">
    <w:nsid w:val="59B842BC"/>
    <w:multiLevelType w:val="hybridMultilevel"/>
    <w:tmpl w:val="5FA6E4C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5AAF31DB"/>
    <w:multiLevelType w:val="hybridMultilevel"/>
    <w:tmpl w:val="CC626678"/>
    <w:lvl w:ilvl="0" w:tplc="A112AB6E">
      <w:start w:val="1"/>
      <w:numFmt w:val="decimal"/>
      <w:lvlText w:val="%1."/>
      <w:lvlJc w:val="left"/>
      <w:pPr>
        <w:ind w:left="360" w:hanging="360"/>
      </w:pPr>
      <w:rPr>
        <w:rFonts w:ascii="Lato" w:hAnsi="Lato" w:hint="default"/>
        <w:b/>
        <w:bCs w:val="0"/>
        <w:sz w:val="24"/>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5B201613"/>
    <w:multiLevelType w:val="hybridMultilevel"/>
    <w:tmpl w:val="3D16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D1E07EB"/>
    <w:multiLevelType w:val="multilevel"/>
    <w:tmpl w:val="E6FCE1C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7" w15:restartNumberingAfterBreak="0">
    <w:nsid w:val="5D722894"/>
    <w:multiLevelType w:val="hybridMultilevel"/>
    <w:tmpl w:val="C1E640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0EB51C3"/>
    <w:multiLevelType w:val="hybridMultilevel"/>
    <w:tmpl w:val="CA22E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0EC08BB"/>
    <w:multiLevelType w:val="multilevel"/>
    <w:tmpl w:val="612A2524"/>
    <w:lvl w:ilvl="0">
      <w:numFmt w:val="bullet"/>
      <w:lvlText w:val="●"/>
      <w:lvlJc w:val="left"/>
      <w:pPr>
        <w:ind w:left="840" w:hanging="360"/>
      </w:pPr>
      <w:rPr>
        <w:rFonts w:ascii="Noto Sans Symbols" w:eastAsia="Noto Sans Symbols" w:hAnsi="Noto Sans Symbols" w:cs="Noto Sans Symbols"/>
        <w:b w:val="0"/>
        <w:i w:val="0"/>
        <w:sz w:val="24"/>
        <w:szCs w:val="24"/>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120" w15:restartNumberingAfterBreak="0">
    <w:nsid w:val="61583C5A"/>
    <w:multiLevelType w:val="hybridMultilevel"/>
    <w:tmpl w:val="2BB63416"/>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1FB12D2"/>
    <w:multiLevelType w:val="hybridMultilevel"/>
    <w:tmpl w:val="8572E8A4"/>
    <w:lvl w:ilvl="0" w:tplc="91F618F2">
      <w:start w:val="1"/>
      <w:numFmt w:val="bullet"/>
      <w:lvlText w:val=""/>
      <w:lvlJc w:val="left"/>
      <w:pPr>
        <w:ind w:left="361" w:hanging="361"/>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30F7A47"/>
    <w:multiLevelType w:val="hybridMultilevel"/>
    <w:tmpl w:val="4F667122"/>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3" w15:restartNumberingAfterBreak="0">
    <w:nsid w:val="634108B5"/>
    <w:multiLevelType w:val="hybridMultilevel"/>
    <w:tmpl w:val="928EEB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6374209D"/>
    <w:multiLevelType w:val="hybridMultilevel"/>
    <w:tmpl w:val="CB32E396"/>
    <w:lvl w:ilvl="0" w:tplc="FFFFFFFF">
      <w:start w:val="1"/>
      <w:numFmt w:val="bullet"/>
      <w:lvlText w:val=""/>
      <w:lvlJc w:val="left"/>
      <w:pPr>
        <w:ind w:left="720" w:hanging="360"/>
      </w:pPr>
      <w:rPr>
        <w:rFonts w:ascii="Symbol" w:hAnsi="Symbol" w:hint="default"/>
      </w:rPr>
    </w:lvl>
    <w:lvl w:ilvl="1" w:tplc="6DACB72C">
      <w:numFmt w:val="bullet"/>
      <w:lvlText w:val="-"/>
      <w:lvlJc w:val="left"/>
      <w:pPr>
        <w:ind w:left="1800" w:hanging="360"/>
      </w:pPr>
      <w:rPr>
        <w:rFonts w:ascii="Arial" w:eastAsia="Arial Unicode MS" w:hAnsi="Arial" w:cs="Aria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5" w15:restartNumberingAfterBreak="0">
    <w:nsid w:val="63FC0134"/>
    <w:multiLevelType w:val="hybridMultilevel"/>
    <w:tmpl w:val="CF32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A37748"/>
    <w:multiLevelType w:val="hybridMultilevel"/>
    <w:tmpl w:val="8E86339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66203912"/>
    <w:multiLevelType w:val="hybridMultilevel"/>
    <w:tmpl w:val="397C9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8" w15:restartNumberingAfterBreak="0">
    <w:nsid w:val="66CD1E24"/>
    <w:multiLevelType w:val="hybridMultilevel"/>
    <w:tmpl w:val="13E222E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9" w15:restartNumberingAfterBreak="0">
    <w:nsid w:val="68844E03"/>
    <w:multiLevelType w:val="hybridMultilevel"/>
    <w:tmpl w:val="FC32CC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0" w15:restartNumberingAfterBreak="0">
    <w:nsid w:val="68D74848"/>
    <w:multiLevelType w:val="hybridMultilevel"/>
    <w:tmpl w:val="7924D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69B3453F"/>
    <w:multiLevelType w:val="multilevel"/>
    <w:tmpl w:val="6994B58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32" w15:restartNumberingAfterBreak="0">
    <w:nsid w:val="6ACC6F6D"/>
    <w:multiLevelType w:val="multilevel"/>
    <w:tmpl w:val="E5CE958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33" w15:restartNumberingAfterBreak="0">
    <w:nsid w:val="6B3226D1"/>
    <w:multiLevelType w:val="hybridMultilevel"/>
    <w:tmpl w:val="6BD08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6BF57404"/>
    <w:multiLevelType w:val="hybridMultilevel"/>
    <w:tmpl w:val="2DAC9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6D6C1F76"/>
    <w:multiLevelType w:val="hybridMultilevel"/>
    <w:tmpl w:val="6852A8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6E161D94"/>
    <w:multiLevelType w:val="multilevel"/>
    <w:tmpl w:val="EC80A17A"/>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7" w15:restartNumberingAfterBreak="0">
    <w:nsid w:val="6F030387"/>
    <w:multiLevelType w:val="hybridMultilevel"/>
    <w:tmpl w:val="1F8CB3B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F2A64D1"/>
    <w:multiLevelType w:val="hybridMultilevel"/>
    <w:tmpl w:val="BA026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FFD0C73"/>
    <w:multiLevelType w:val="hybridMultilevel"/>
    <w:tmpl w:val="72E43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7010564B"/>
    <w:multiLevelType w:val="multilevel"/>
    <w:tmpl w:val="8B34AF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1" w15:restartNumberingAfterBreak="0">
    <w:nsid w:val="70CA4DD9"/>
    <w:multiLevelType w:val="hybridMultilevel"/>
    <w:tmpl w:val="80C81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7110314A"/>
    <w:multiLevelType w:val="hybridMultilevel"/>
    <w:tmpl w:val="732A8E2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3" w15:restartNumberingAfterBreak="0">
    <w:nsid w:val="71732435"/>
    <w:multiLevelType w:val="hybridMultilevel"/>
    <w:tmpl w:val="C3949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71B453BE"/>
    <w:multiLevelType w:val="multilevel"/>
    <w:tmpl w:val="BB8202F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45" w15:restartNumberingAfterBreak="0">
    <w:nsid w:val="7248075C"/>
    <w:multiLevelType w:val="multilevel"/>
    <w:tmpl w:val="EE7227AE"/>
    <w:lvl w:ilvl="0">
      <w:start w:val="1"/>
      <w:numFmt w:val="decimal"/>
      <w:lvlText w:val="%1."/>
      <w:lvlJc w:val="left"/>
      <w:pPr>
        <w:ind w:left="480" w:hanging="361"/>
      </w:pPr>
      <w:rPr>
        <w:rFonts w:ascii="Calibri" w:eastAsia="Calibri" w:hAnsi="Calibri" w:cs="Calibri"/>
        <w:b/>
        <w:i w:val="0"/>
        <w:sz w:val="22"/>
        <w:szCs w:val="22"/>
      </w:rPr>
    </w:lvl>
    <w:lvl w:ilvl="1">
      <w:start w:val="1"/>
      <w:numFmt w:val="lowerLetter"/>
      <w:lvlText w:val="%2."/>
      <w:lvlJc w:val="left"/>
      <w:pPr>
        <w:ind w:left="1199" w:hanging="360"/>
      </w:pPr>
      <w:rPr>
        <w:rFonts w:ascii="Calibri" w:eastAsia="Calibri" w:hAnsi="Calibri" w:cs="Calibri"/>
        <w:b w:val="0"/>
        <w:i w:val="0"/>
        <w:sz w:val="22"/>
        <w:szCs w:val="22"/>
      </w:rPr>
    </w:lvl>
    <w:lvl w:ilvl="2">
      <w:numFmt w:val="bullet"/>
      <w:lvlText w:val="•"/>
      <w:lvlJc w:val="left"/>
      <w:pPr>
        <w:ind w:left="2133" w:hanging="360"/>
      </w:pPr>
    </w:lvl>
    <w:lvl w:ilvl="3">
      <w:numFmt w:val="bullet"/>
      <w:lvlText w:val="•"/>
      <w:lvlJc w:val="left"/>
      <w:pPr>
        <w:ind w:left="3066" w:hanging="360"/>
      </w:pPr>
    </w:lvl>
    <w:lvl w:ilvl="4">
      <w:numFmt w:val="bullet"/>
      <w:lvlText w:val="•"/>
      <w:lvlJc w:val="left"/>
      <w:pPr>
        <w:ind w:left="4000" w:hanging="360"/>
      </w:pPr>
    </w:lvl>
    <w:lvl w:ilvl="5">
      <w:numFmt w:val="bullet"/>
      <w:lvlText w:val="•"/>
      <w:lvlJc w:val="left"/>
      <w:pPr>
        <w:ind w:left="4933" w:hanging="360"/>
      </w:pPr>
    </w:lvl>
    <w:lvl w:ilvl="6">
      <w:numFmt w:val="bullet"/>
      <w:lvlText w:val="•"/>
      <w:lvlJc w:val="left"/>
      <w:pPr>
        <w:ind w:left="5866" w:hanging="360"/>
      </w:pPr>
    </w:lvl>
    <w:lvl w:ilvl="7">
      <w:numFmt w:val="bullet"/>
      <w:lvlText w:val="•"/>
      <w:lvlJc w:val="left"/>
      <w:pPr>
        <w:ind w:left="6800" w:hanging="360"/>
      </w:pPr>
    </w:lvl>
    <w:lvl w:ilvl="8">
      <w:numFmt w:val="bullet"/>
      <w:lvlText w:val="•"/>
      <w:lvlJc w:val="left"/>
      <w:pPr>
        <w:ind w:left="7733" w:hanging="360"/>
      </w:pPr>
    </w:lvl>
  </w:abstractNum>
  <w:abstractNum w:abstractNumId="146" w15:restartNumberingAfterBreak="0">
    <w:nsid w:val="72A73C50"/>
    <w:multiLevelType w:val="multilevel"/>
    <w:tmpl w:val="35C0815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47" w15:restartNumberingAfterBreak="0">
    <w:nsid w:val="76277BEF"/>
    <w:multiLevelType w:val="multilevel"/>
    <w:tmpl w:val="C50880C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48" w15:restartNumberingAfterBreak="0">
    <w:nsid w:val="76527EE3"/>
    <w:multiLevelType w:val="multilevel"/>
    <w:tmpl w:val="5F78F01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9" w15:restartNumberingAfterBreak="0">
    <w:nsid w:val="767F3E6F"/>
    <w:multiLevelType w:val="hybridMultilevel"/>
    <w:tmpl w:val="D09EE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77DC08C9"/>
    <w:multiLevelType w:val="hybridMultilevel"/>
    <w:tmpl w:val="58FE8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78965EBA"/>
    <w:multiLevelType w:val="hybridMultilevel"/>
    <w:tmpl w:val="98BE460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2" w15:restartNumberingAfterBreak="0">
    <w:nsid w:val="78CA3BA6"/>
    <w:multiLevelType w:val="hybridMultilevel"/>
    <w:tmpl w:val="E10C09FA"/>
    <w:lvl w:ilvl="0" w:tplc="91F618F2">
      <w:start w:val="1"/>
      <w:numFmt w:val="bullet"/>
      <w:lvlText w:val=""/>
      <w:lvlJc w:val="left"/>
      <w:pPr>
        <w:ind w:left="360" w:hanging="360"/>
      </w:pPr>
      <w:rPr>
        <w:rFonts w:ascii="Symbol" w:eastAsia="Symbol" w:hAnsi="Symbol"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3" w15:restartNumberingAfterBreak="0">
    <w:nsid w:val="7AA435B6"/>
    <w:multiLevelType w:val="hybridMultilevel"/>
    <w:tmpl w:val="A0A4222A"/>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C91266B"/>
    <w:multiLevelType w:val="hybridMultilevel"/>
    <w:tmpl w:val="E256B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7CE37033"/>
    <w:multiLevelType w:val="multilevel"/>
    <w:tmpl w:val="6814272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56" w15:restartNumberingAfterBreak="0">
    <w:nsid w:val="7D1320E8"/>
    <w:multiLevelType w:val="hybridMultilevel"/>
    <w:tmpl w:val="123CF78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7" w15:restartNumberingAfterBreak="0">
    <w:nsid w:val="7E583867"/>
    <w:multiLevelType w:val="multilevel"/>
    <w:tmpl w:val="F438B67A"/>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8" w15:restartNumberingAfterBreak="0">
    <w:nsid w:val="7E6A75B9"/>
    <w:multiLevelType w:val="hybridMultilevel"/>
    <w:tmpl w:val="43D4A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 w15:restartNumberingAfterBreak="0">
    <w:nsid w:val="7EA556E8"/>
    <w:multiLevelType w:val="hybridMultilevel"/>
    <w:tmpl w:val="19E85214"/>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0" w15:restartNumberingAfterBreak="0">
    <w:nsid w:val="7FDC0248"/>
    <w:multiLevelType w:val="hybridMultilevel"/>
    <w:tmpl w:val="41468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49969938">
    <w:abstractNumId w:val="94"/>
  </w:num>
  <w:num w:numId="2" w16cid:durableId="1778601442">
    <w:abstractNumId w:val="160"/>
  </w:num>
  <w:num w:numId="3" w16cid:durableId="505093450">
    <w:abstractNumId w:val="63"/>
  </w:num>
  <w:num w:numId="4" w16cid:durableId="216211936">
    <w:abstractNumId w:val="66"/>
  </w:num>
  <w:num w:numId="5" w16cid:durableId="1110855558">
    <w:abstractNumId w:val="34"/>
  </w:num>
  <w:num w:numId="6" w16cid:durableId="668215877">
    <w:abstractNumId w:val="114"/>
  </w:num>
  <w:num w:numId="7" w16cid:durableId="1239439429">
    <w:abstractNumId w:val="4"/>
  </w:num>
  <w:num w:numId="8" w16cid:durableId="284044127">
    <w:abstractNumId w:val="37"/>
  </w:num>
  <w:num w:numId="9" w16cid:durableId="867137962">
    <w:abstractNumId w:val="65"/>
  </w:num>
  <w:num w:numId="10" w16cid:durableId="1620647205">
    <w:abstractNumId w:val="115"/>
  </w:num>
  <w:num w:numId="11" w16cid:durableId="1602756067">
    <w:abstractNumId w:val="68"/>
  </w:num>
  <w:num w:numId="12" w16cid:durableId="1897740764">
    <w:abstractNumId w:val="138"/>
  </w:num>
  <w:num w:numId="13" w16cid:durableId="1011832149">
    <w:abstractNumId w:val="109"/>
  </w:num>
  <w:num w:numId="14" w16cid:durableId="1413166231">
    <w:abstractNumId w:val="75"/>
  </w:num>
  <w:num w:numId="15" w16cid:durableId="18086203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9323160">
    <w:abstractNumId w:val="79"/>
  </w:num>
  <w:num w:numId="17" w16cid:durableId="1355692547">
    <w:abstractNumId w:val="127"/>
  </w:num>
  <w:num w:numId="18" w16cid:durableId="1101954039">
    <w:abstractNumId w:val="112"/>
  </w:num>
  <w:num w:numId="19" w16cid:durableId="300304332">
    <w:abstractNumId w:val="72"/>
  </w:num>
  <w:num w:numId="20" w16cid:durableId="407923977">
    <w:abstractNumId w:val="97"/>
  </w:num>
  <w:num w:numId="21" w16cid:durableId="1040204723">
    <w:abstractNumId w:val="47"/>
  </w:num>
  <w:num w:numId="22" w16cid:durableId="1850874684">
    <w:abstractNumId w:val="129"/>
  </w:num>
  <w:num w:numId="23" w16cid:durableId="1695958076">
    <w:abstractNumId w:val="125"/>
  </w:num>
  <w:num w:numId="24" w16cid:durableId="786044748">
    <w:abstractNumId w:val="0"/>
  </w:num>
  <w:num w:numId="25" w16cid:durableId="278032932">
    <w:abstractNumId w:val="27"/>
  </w:num>
  <w:num w:numId="26" w16cid:durableId="1690133998">
    <w:abstractNumId w:val="57"/>
  </w:num>
  <w:num w:numId="27" w16cid:durableId="2002854527">
    <w:abstractNumId w:val="18"/>
  </w:num>
  <w:num w:numId="28" w16cid:durableId="1555463399">
    <w:abstractNumId w:val="149"/>
  </w:num>
  <w:num w:numId="29" w16cid:durableId="927350382">
    <w:abstractNumId w:val="87"/>
  </w:num>
  <w:num w:numId="30" w16cid:durableId="550850048">
    <w:abstractNumId w:val="35"/>
  </w:num>
  <w:num w:numId="31" w16cid:durableId="212278181">
    <w:abstractNumId w:val="67"/>
  </w:num>
  <w:num w:numId="32" w16cid:durableId="1233349150">
    <w:abstractNumId w:val="107"/>
  </w:num>
  <w:num w:numId="33" w16cid:durableId="924916850">
    <w:abstractNumId w:val="1"/>
  </w:num>
  <w:num w:numId="34" w16cid:durableId="899171851">
    <w:abstractNumId w:val="78"/>
  </w:num>
  <w:num w:numId="35" w16cid:durableId="502208143">
    <w:abstractNumId w:val="36"/>
  </w:num>
  <w:num w:numId="36" w16cid:durableId="624697760">
    <w:abstractNumId w:val="96"/>
  </w:num>
  <w:num w:numId="37" w16cid:durableId="372921404">
    <w:abstractNumId w:val="76"/>
  </w:num>
  <w:num w:numId="38" w16cid:durableId="1842888702">
    <w:abstractNumId w:val="70"/>
  </w:num>
  <w:num w:numId="39" w16cid:durableId="144052882">
    <w:abstractNumId w:val="33"/>
  </w:num>
  <w:num w:numId="40" w16cid:durableId="1944220387">
    <w:abstractNumId w:val="82"/>
  </w:num>
  <w:num w:numId="41" w16cid:durableId="80762835">
    <w:abstractNumId w:val="119"/>
  </w:num>
  <w:num w:numId="42" w16cid:durableId="1029066860">
    <w:abstractNumId w:val="17"/>
  </w:num>
  <w:num w:numId="43" w16cid:durableId="682362525">
    <w:abstractNumId w:val="139"/>
  </w:num>
  <w:num w:numId="44" w16cid:durableId="571892035">
    <w:abstractNumId w:val="69"/>
  </w:num>
  <w:num w:numId="45" w16cid:durableId="566965191">
    <w:abstractNumId w:val="23"/>
  </w:num>
  <w:num w:numId="46" w16cid:durableId="415250540">
    <w:abstractNumId w:val="145"/>
  </w:num>
  <w:num w:numId="47" w16cid:durableId="1128815514">
    <w:abstractNumId w:val="123"/>
  </w:num>
  <w:num w:numId="48" w16cid:durableId="1630550085">
    <w:abstractNumId w:val="118"/>
  </w:num>
  <w:num w:numId="49" w16cid:durableId="2007635197">
    <w:abstractNumId w:val="130"/>
  </w:num>
  <w:num w:numId="50" w16cid:durableId="754320548">
    <w:abstractNumId w:val="61"/>
  </w:num>
  <w:num w:numId="51" w16cid:durableId="349838056">
    <w:abstractNumId w:val="135"/>
  </w:num>
  <w:num w:numId="52" w16cid:durableId="1158763957">
    <w:abstractNumId w:val="91"/>
  </w:num>
  <w:num w:numId="53" w16cid:durableId="1305695931">
    <w:abstractNumId w:val="32"/>
  </w:num>
  <w:num w:numId="54" w16cid:durableId="2001275504">
    <w:abstractNumId w:val="51"/>
  </w:num>
  <w:num w:numId="55" w16cid:durableId="10421650">
    <w:abstractNumId w:val="117"/>
  </w:num>
  <w:num w:numId="56" w16cid:durableId="659964455">
    <w:abstractNumId w:val="11"/>
  </w:num>
  <w:num w:numId="57" w16cid:durableId="930505338">
    <w:abstractNumId w:val="44"/>
  </w:num>
  <w:num w:numId="58" w16cid:durableId="153566162">
    <w:abstractNumId w:val="48"/>
  </w:num>
  <w:num w:numId="59" w16cid:durableId="381828386">
    <w:abstractNumId w:val="21"/>
  </w:num>
  <w:num w:numId="60" w16cid:durableId="757869316">
    <w:abstractNumId w:val="77"/>
  </w:num>
  <w:num w:numId="61" w16cid:durableId="582102295">
    <w:abstractNumId w:val="9"/>
  </w:num>
  <w:num w:numId="62" w16cid:durableId="805010255">
    <w:abstractNumId w:val="81"/>
  </w:num>
  <w:num w:numId="63" w16cid:durableId="1816137804">
    <w:abstractNumId w:val="126"/>
  </w:num>
  <w:num w:numId="64" w16cid:durableId="1194273384">
    <w:abstractNumId w:val="20"/>
  </w:num>
  <w:num w:numId="65" w16cid:durableId="1287464925">
    <w:abstractNumId w:val="10"/>
  </w:num>
  <w:num w:numId="66" w16cid:durableId="1435979074">
    <w:abstractNumId w:val="113"/>
  </w:num>
  <w:num w:numId="67" w16cid:durableId="184292597">
    <w:abstractNumId w:val="73"/>
  </w:num>
  <w:num w:numId="68" w16cid:durableId="146216996">
    <w:abstractNumId w:val="85"/>
  </w:num>
  <w:num w:numId="69" w16cid:durableId="1648977678">
    <w:abstractNumId w:val="92"/>
  </w:num>
  <w:num w:numId="70" w16cid:durableId="1501509700">
    <w:abstractNumId w:val="84"/>
  </w:num>
  <w:num w:numId="71" w16cid:durableId="1307007972">
    <w:abstractNumId w:val="22"/>
  </w:num>
  <w:num w:numId="72" w16cid:durableId="1987739639">
    <w:abstractNumId w:val="128"/>
  </w:num>
  <w:num w:numId="73" w16cid:durableId="1659260618">
    <w:abstractNumId w:val="103"/>
  </w:num>
  <w:num w:numId="74" w16cid:durableId="1580752058">
    <w:abstractNumId w:val="49"/>
  </w:num>
  <w:num w:numId="75" w16cid:durableId="1808931504">
    <w:abstractNumId w:val="150"/>
  </w:num>
  <w:num w:numId="76" w16cid:durableId="320617831">
    <w:abstractNumId w:val="102"/>
  </w:num>
  <w:num w:numId="77" w16cid:durableId="1107770244">
    <w:abstractNumId w:val="3"/>
  </w:num>
  <w:num w:numId="78" w16cid:durableId="1649627917">
    <w:abstractNumId w:val="101"/>
  </w:num>
  <w:num w:numId="79" w16cid:durableId="252471704">
    <w:abstractNumId w:val="95"/>
  </w:num>
  <w:num w:numId="80" w16cid:durableId="959460168">
    <w:abstractNumId w:val="104"/>
  </w:num>
  <w:num w:numId="81" w16cid:durableId="233243545">
    <w:abstractNumId w:val="38"/>
  </w:num>
  <w:num w:numId="82" w16cid:durableId="493763327">
    <w:abstractNumId w:val="6"/>
  </w:num>
  <w:num w:numId="83" w16cid:durableId="217985079">
    <w:abstractNumId w:val="121"/>
  </w:num>
  <w:num w:numId="84" w16cid:durableId="396632049">
    <w:abstractNumId w:val="12"/>
  </w:num>
  <w:num w:numId="85" w16cid:durableId="1835336145">
    <w:abstractNumId w:val="137"/>
  </w:num>
  <w:num w:numId="86" w16cid:durableId="177618857">
    <w:abstractNumId w:val="152"/>
  </w:num>
  <w:num w:numId="87" w16cid:durableId="2063091481">
    <w:abstractNumId w:val="93"/>
  </w:num>
  <w:num w:numId="88" w16cid:durableId="1603534940">
    <w:abstractNumId w:val="154"/>
  </w:num>
  <w:num w:numId="89" w16cid:durableId="824858955">
    <w:abstractNumId w:val="46"/>
  </w:num>
  <w:num w:numId="90" w16cid:durableId="859776839">
    <w:abstractNumId w:val="30"/>
  </w:num>
  <w:num w:numId="91" w16cid:durableId="292952400">
    <w:abstractNumId w:val="55"/>
  </w:num>
  <w:num w:numId="92" w16cid:durableId="607127436">
    <w:abstractNumId w:val="43"/>
  </w:num>
  <w:num w:numId="93" w16cid:durableId="1177036108">
    <w:abstractNumId w:val="29"/>
  </w:num>
  <w:num w:numId="94" w16cid:durableId="1776558377">
    <w:abstractNumId w:val="105"/>
  </w:num>
  <w:num w:numId="95" w16cid:durableId="1472863544">
    <w:abstractNumId w:val="122"/>
  </w:num>
  <w:num w:numId="96" w16cid:durableId="2067147535">
    <w:abstractNumId w:val="5"/>
  </w:num>
  <w:num w:numId="97" w16cid:durableId="1523519523">
    <w:abstractNumId w:val="151"/>
  </w:num>
  <w:num w:numId="98" w16cid:durableId="1654336843">
    <w:abstractNumId w:val="108"/>
  </w:num>
  <w:num w:numId="99" w16cid:durableId="1794783790">
    <w:abstractNumId w:val="60"/>
  </w:num>
  <w:num w:numId="100" w16cid:durableId="1708023528">
    <w:abstractNumId w:val="42"/>
  </w:num>
  <w:num w:numId="101" w16cid:durableId="1194344848">
    <w:abstractNumId w:val="134"/>
  </w:num>
  <w:num w:numId="102" w16cid:durableId="1758744455">
    <w:abstractNumId w:val="53"/>
  </w:num>
  <w:num w:numId="103" w16cid:durableId="650183615">
    <w:abstractNumId w:val="143"/>
  </w:num>
  <w:num w:numId="104" w16cid:durableId="1878345898">
    <w:abstractNumId w:val="141"/>
  </w:num>
  <w:num w:numId="105" w16cid:durableId="423110661">
    <w:abstractNumId w:val="13"/>
  </w:num>
  <w:num w:numId="106" w16cid:durableId="1302346710">
    <w:abstractNumId w:val="88"/>
  </w:num>
  <w:num w:numId="107" w16cid:durableId="662196786">
    <w:abstractNumId w:val="8"/>
  </w:num>
  <w:num w:numId="108" w16cid:durableId="1095176501">
    <w:abstractNumId w:val="120"/>
  </w:num>
  <w:num w:numId="109" w16cid:durableId="1217202317">
    <w:abstractNumId w:val="25"/>
  </w:num>
  <w:num w:numId="110" w16cid:durableId="1545756622">
    <w:abstractNumId w:val="41"/>
  </w:num>
  <w:num w:numId="111" w16cid:durableId="1370953458">
    <w:abstractNumId w:val="155"/>
  </w:num>
  <w:num w:numId="112" w16cid:durableId="1589651138">
    <w:abstractNumId w:val="110"/>
  </w:num>
  <w:num w:numId="113" w16cid:durableId="1837189992">
    <w:abstractNumId w:val="14"/>
  </w:num>
  <w:num w:numId="114" w16cid:durableId="1860006184">
    <w:abstractNumId w:val="132"/>
  </w:num>
  <w:num w:numId="115" w16cid:durableId="2078356579">
    <w:abstractNumId w:val="158"/>
  </w:num>
  <w:num w:numId="116" w16cid:durableId="839926443">
    <w:abstractNumId w:val="26"/>
  </w:num>
  <w:num w:numId="117" w16cid:durableId="1874732964">
    <w:abstractNumId w:val="131"/>
  </w:num>
  <w:num w:numId="118" w16cid:durableId="340667842">
    <w:abstractNumId w:val="50"/>
  </w:num>
  <w:num w:numId="119" w16cid:durableId="332530954">
    <w:abstractNumId w:val="147"/>
  </w:num>
  <w:num w:numId="120" w16cid:durableId="668800074">
    <w:abstractNumId w:val="24"/>
  </w:num>
  <w:num w:numId="121" w16cid:durableId="1315646808">
    <w:abstractNumId w:val="111"/>
  </w:num>
  <w:num w:numId="122" w16cid:durableId="1274365015">
    <w:abstractNumId w:val="39"/>
  </w:num>
  <w:num w:numId="123" w16cid:durableId="4671478">
    <w:abstractNumId w:val="157"/>
  </w:num>
  <w:num w:numId="124" w16cid:durableId="1811359399">
    <w:abstractNumId w:val="54"/>
  </w:num>
  <w:num w:numId="125" w16cid:durableId="2114858761">
    <w:abstractNumId w:val="15"/>
  </w:num>
  <w:num w:numId="126" w16cid:durableId="657029482">
    <w:abstractNumId w:val="100"/>
  </w:num>
  <w:num w:numId="127" w16cid:durableId="1526405423">
    <w:abstractNumId w:val="124"/>
  </w:num>
  <w:num w:numId="128" w16cid:durableId="365562309">
    <w:abstractNumId w:val="2"/>
  </w:num>
  <w:num w:numId="129" w16cid:durableId="817377410">
    <w:abstractNumId w:val="31"/>
  </w:num>
  <w:num w:numId="130" w16cid:durableId="1563323354">
    <w:abstractNumId w:val="89"/>
  </w:num>
  <w:num w:numId="131" w16cid:durableId="1349138120">
    <w:abstractNumId w:val="99"/>
  </w:num>
  <w:num w:numId="132" w16cid:durableId="1828013691">
    <w:abstractNumId w:val="19"/>
  </w:num>
  <w:num w:numId="133" w16cid:durableId="432626606">
    <w:abstractNumId w:val="136"/>
  </w:num>
  <w:num w:numId="134" w16cid:durableId="266081362">
    <w:abstractNumId w:val="90"/>
  </w:num>
  <w:num w:numId="135" w16cid:durableId="2101563480">
    <w:abstractNumId w:val="148"/>
  </w:num>
  <w:num w:numId="136" w16cid:durableId="2078244632">
    <w:abstractNumId w:val="7"/>
  </w:num>
  <w:num w:numId="137" w16cid:durableId="796339799">
    <w:abstractNumId w:val="156"/>
  </w:num>
  <w:num w:numId="138" w16cid:durableId="1545562785">
    <w:abstractNumId w:val="106"/>
  </w:num>
  <w:num w:numId="139" w16cid:durableId="616372036">
    <w:abstractNumId w:val="16"/>
  </w:num>
  <w:num w:numId="140" w16cid:durableId="1996950499">
    <w:abstractNumId w:val="59"/>
  </w:num>
  <w:num w:numId="141" w16cid:durableId="282267357">
    <w:abstractNumId w:val="56"/>
  </w:num>
  <w:num w:numId="142" w16cid:durableId="1477261277">
    <w:abstractNumId w:val="116"/>
  </w:num>
  <w:num w:numId="143" w16cid:durableId="1466005452">
    <w:abstractNumId w:val="64"/>
  </w:num>
  <w:num w:numId="144" w16cid:durableId="350691949">
    <w:abstractNumId w:val="45"/>
  </w:num>
  <w:num w:numId="145" w16cid:durableId="1507279837">
    <w:abstractNumId w:val="52"/>
  </w:num>
  <w:num w:numId="146" w16cid:durableId="1068453796">
    <w:abstractNumId w:val="159"/>
  </w:num>
  <w:num w:numId="147" w16cid:durableId="276180853">
    <w:abstractNumId w:val="144"/>
  </w:num>
  <w:num w:numId="148" w16cid:durableId="1734307626">
    <w:abstractNumId w:val="153"/>
  </w:num>
  <w:num w:numId="149" w16cid:durableId="767432329">
    <w:abstractNumId w:val="142"/>
  </w:num>
  <w:num w:numId="150" w16cid:durableId="1984457911">
    <w:abstractNumId w:val="133"/>
  </w:num>
  <w:num w:numId="151" w16cid:durableId="1833175455">
    <w:abstractNumId w:val="58"/>
  </w:num>
  <w:num w:numId="152" w16cid:durableId="1454716471">
    <w:abstractNumId w:val="28"/>
  </w:num>
  <w:num w:numId="153" w16cid:durableId="1588268484">
    <w:abstractNumId w:val="98"/>
  </w:num>
  <w:num w:numId="154" w16cid:durableId="2068872614">
    <w:abstractNumId w:val="86"/>
  </w:num>
  <w:num w:numId="155" w16cid:durableId="1809978971">
    <w:abstractNumId w:val="83"/>
  </w:num>
  <w:num w:numId="156" w16cid:durableId="263731753">
    <w:abstractNumId w:val="80"/>
  </w:num>
  <w:num w:numId="157" w16cid:durableId="1826974397">
    <w:abstractNumId w:val="146"/>
  </w:num>
  <w:num w:numId="158" w16cid:durableId="1411808929">
    <w:abstractNumId w:val="71"/>
  </w:num>
  <w:num w:numId="159" w16cid:durableId="1601178831">
    <w:abstractNumId w:val="74"/>
  </w:num>
  <w:num w:numId="160" w16cid:durableId="1352729395">
    <w:abstractNumId w:val="62"/>
  </w:num>
  <w:num w:numId="161" w16cid:durableId="1694258289">
    <w:abstractNumId w:val="1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1A"/>
    <w:rsid w:val="00014ACC"/>
    <w:rsid w:val="000249C8"/>
    <w:rsid w:val="00327D92"/>
    <w:rsid w:val="00331B32"/>
    <w:rsid w:val="00387569"/>
    <w:rsid w:val="003D1176"/>
    <w:rsid w:val="0040407E"/>
    <w:rsid w:val="004A0518"/>
    <w:rsid w:val="004D0EE8"/>
    <w:rsid w:val="00554F00"/>
    <w:rsid w:val="006844CE"/>
    <w:rsid w:val="0069403C"/>
    <w:rsid w:val="006A4E76"/>
    <w:rsid w:val="006B239A"/>
    <w:rsid w:val="006D1BA6"/>
    <w:rsid w:val="006E27D0"/>
    <w:rsid w:val="006F565E"/>
    <w:rsid w:val="00707EB3"/>
    <w:rsid w:val="0071684B"/>
    <w:rsid w:val="00730AF8"/>
    <w:rsid w:val="00757096"/>
    <w:rsid w:val="00780F5C"/>
    <w:rsid w:val="007E41BE"/>
    <w:rsid w:val="008057C0"/>
    <w:rsid w:val="0081034D"/>
    <w:rsid w:val="00816482"/>
    <w:rsid w:val="00825DC9"/>
    <w:rsid w:val="00831983"/>
    <w:rsid w:val="0084591A"/>
    <w:rsid w:val="008936D7"/>
    <w:rsid w:val="008A1F1F"/>
    <w:rsid w:val="008E17D2"/>
    <w:rsid w:val="008F506A"/>
    <w:rsid w:val="00924ACE"/>
    <w:rsid w:val="009B5DA7"/>
    <w:rsid w:val="009E0CED"/>
    <w:rsid w:val="009E3A27"/>
    <w:rsid w:val="00A35E79"/>
    <w:rsid w:val="00A91D1E"/>
    <w:rsid w:val="00B41A2D"/>
    <w:rsid w:val="00B62574"/>
    <w:rsid w:val="00B8234F"/>
    <w:rsid w:val="00BB0A93"/>
    <w:rsid w:val="00BF6CD5"/>
    <w:rsid w:val="00C16153"/>
    <w:rsid w:val="00CE4238"/>
    <w:rsid w:val="00D32F77"/>
    <w:rsid w:val="00D868E1"/>
    <w:rsid w:val="00DF021C"/>
    <w:rsid w:val="00E43A97"/>
    <w:rsid w:val="00E64926"/>
    <w:rsid w:val="00E651BD"/>
    <w:rsid w:val="00ED5B6E"/>
    <w:rsid w:val="00EE32AD"/>
    <w:rsid w:val="00EF2775"/>
    <w:rsid w:val="00F167E8"/>
    <w:rsid w:val="00F259B8"/>
    <w:rsid w:val="00F37864"/>
    <w:rsid w:val="00F51A42"/>
    <w:rsid w:val="00FC344A"/>
    <w:rsid w:val="00FF31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E65EC"/>
  <w15:chartTrackingRefBased/>
  <w15:docId w15:val="{BADB44A2-4113-AA40-ABA1-F37F82D7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DRN body"/>
    <w:qFormat/>
    <w:rsid w:val="004A0518"/>
    <w:pPr>
      <w:spacing w:after="160" w:line="360" w:lineRule="auto"/>
    </w:pPr>
    <w:rPr>
      <w:rFonts w:ascii="Arial" w:hAnsi="Arial"/>
      <w:kern w:val="0"/>
      <w:szCs w:val="22"/>
      <w:lang w:val="en-US"/>
      <w14:ligatures w14:val="none"/>
    </w:rPr>
  </w:style>
  <w:style w:type="paragraph" w:styleId="Heading1">
    <w:name w:val="heading 1"/>
    <w:basedOn w:val="Normal"/>
    <w:next w:val="Normal"/>
    <w:link w:val="Heading1Char"/>
    <w:uiPriority w:val="9"/>
    <w:qFormat/>
    <w:rsid w:val="00707EB3"/>
    <w:pPr>
      <w:keepNext/>
      <w:keepLines/>
      <w:spacing w:before="400" w:after="120" w:line="276" w:lineRule="auto"/>
      <w:outlineLvl w:val="0"/>
    </w:pPr>
    <w:rPr>
      <w:rFonts w:ascii="Lato" w:eastAsia="Arial" w:hAnsi="Lato" w:cs="Arial"/>
      <w:b/>
      <w:color w:val="006A78"/>
      <w:sz w:val="36"/>
      <w:szCs w:val="40"/>
      <w:lang w:val="en"/>
    </w:rPr>
  </w:style>
  <w:style w:type="paragraph" w:styleId="Heading2">
    <w:name w:val="heading 2"/>
    <w:basedOn w:val="Normal"/>
    <w:next w:val="Normal"/>
    <w:link w:val="Heading2Char"/>
    <w:autoRedefine/>
    <w:uiPriority w:val="9"/>
    <w:unhideWhenUsed/>
    <w:qFormat/>
    <w:rsid w:val="00707EB3"/>
    <w:pPr>
      <w:keepNext/>
      <w:keepLines/>
      <w:spacing w:before="40" w:after="0"/>
      <w:outlineLvl w:val="1"/>
    </w:pPr>
    <w:rPr>
      <w:rFonts w:ascii="Lato" w:eastAsiaTheme="majorEastAsia" w:hAnsi="Lato" w:cstheme="majorBidi"/>
      <w:b/>
      <w:color w:val="006A78"/>
      <w:sz w:val="28"/>
      <w:szCs w:val="26"/>
    </w:rPr>
  </w:style>
  <w:style w:type="paragraph" w:styleId="Heading3">
    <w:name w:val="heading 3"/>
    <w:basedOn w:val="Heading1"/>
    <w:next w:val="Normal"/>
    <w:link w:val="Heading3Char"/>
    <w:autoRedefine/>
    <w:uiPriority w:val="9"/>
    <w:unhideWhenUsed/>
    <w:qFormat/>
    <w:rsid w:val="00707EB3"/>
    <w:pPr>
      <w:tabs>
        <w:tab w:val="left" w:pos="461"/>
      </w:tabs>
      <w:spacing w:before="0"/>
      <w:contextualSpacing/>
      <w:outlineLvl w:val="2"/>
    </w:pPr>
    <w:rPr>
      <w:rFonts w:cstheme="minorHAnsi"/>
      <w:bCs/>
      <w:color w:val="00274A"/>
      <w:spacing w:val="-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EB3"/>
    <w:rPr>
      <w:rFonts w:ascii="Lato" w:eastAsia="Arial" w:hAnsi="Lato" w:cs="Arial"/>
      <w:b/>
      <w:color w:val="006A78"/>
      <w:kern w:val="0"/>
      <w:sz w:val="36"/>
      <w:szCs w:val="40"/>
      <w:lang w:val="en"/>
      <w14:ligatures w14:val="none"/>
    </w:rPr>
  </w:style>
  <w:style w:type="paragraph" w:styleId="PlainText">
    <w:name w:val="Plain Text"/>
    <w:basedOn w:val="Normal"/>
    <w:link w:val="PlainTextChar"/>
    <w:uiPriority w:val="99"/>
    <w:semiHidden/>
    <w:unhideWhenUsed/>
    <w:rsid w:val="008E17D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E17D2"/>
    <w:rPr>
      <w:rFonts w:ascii="Consolas" w:eastAsia="Arial" w:hAnsi="Consolas" w:cs="Consolas"/>
      <w:kern w:val="0"/>
      <w:sz w:val="21"/>
      <w:szCs w:val="21"/>
      <w:lang w:val="en"/>
      <w14:ligatures w14:val="none"/>
    </w:rPr>
  </w:style>
  <w:style w:type="character" w:customStyle="1" w:styleId="Heading2Char">
    <w:name w:val="Heading 2 Char"/>
    <w:basedOn w:val="DefaultParagraphFont"/>
    <w:link w:val="Heading2"/>
    <w:uiPriority w:val="9"/>
    <w:rsid w:val="00707EB3"/>
    <w:rPr>
      <w:rFonts w:ascii="Lato" w:eastAsiaTheme="majorEastAsia" w:hAnsi="Lato" w:cstheme="majorBidi"/>
      <w:b/>
      <w:color w:val="006A78"/>
      <w:kern w:val="0"/>
      <w:sz w:val="28"/>
      <w:szCs w:val="26"/>
      <w:lang w:val="en-US"/>
      <w14:ligatures w14:val="none"/>
    </w:rPr>
  </w:style>
  <w:style w:type="paragraph" w:styleId="Header">
    <w:name w:val="header"/>
    <w:basedOn w:val="Normal"/>
    <w:link w:val="HeaderChar"/>
    <w:uiPriority w:val="99"/>
    <w:unhideWhenUsed/>
    <w:rsid w:val="00845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91A"/>
    <w:rPr>
      <w:kern w:val="0"/>
      <w:sz w:val="22"/>
      <w:szCs w:val="22"/>
      <w:lang w:val="en-US"/>
      <w14:ligatures w14:val="none"/>
    </w:rPr>
  </w:style>
  <w:style w:type="paragraph" w:styleId="Footer">
    <w:name w:val="footer"/>
    <w:basedOn w:val="Normal"/>
    <w:link w:val="FooterChar"/>
    <w:uiPriority w:val="99"/>
    <w:unhideWhenUsed/>
    <w:rsid w:val="00845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91A"/>
    <w:rPr>
      <w:kern w:val="0"/>
      <w:sz w:val="22"/>
      <w:szCs w:val="22"/>
      <w:lang w:val="en-US"/>
      <w14:ligatures w14:val="none"/>
    </w:rPr>
  </w:style>
  <w:style w:type="paragraph" w:styleId="ListParagraph">
    <w:name w:val="List Paragraph"/>
    <w:basedOn w:val="Normal"/>
    <w:uiPriority w:val="34"/>
    <w:qFormat/>
    <w:rsid w:val="0084591A"/>
    <w:pPr>
      <w:ind w:left="720"/>
      <w:contextualSpacing/>
    </w:pPr>
  </w:style>
  <w:style w:type="table" w:styleId="TableGrid">
    <w:name w:val="Table Grid"/>
    <w:basedOn w:val="TableNormal"/>
    <w:uiPriority w:val="39"/>
    <w:rsid w:val="0084591A"/>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591A"/>
    <w:rPr>
      <w:color w:val="0563C1" w:themeColor="hyperlink"/>
      <w:u w:val="single"/>
    </w:rPr>
  </w:style>
  <w:style w:type="paragraph" w:styleId="FootnoteText">
    <w:name w:val="footnote text"/>
    <w:basedOn w:val="Normal"/>
    <w:link w:val="FootnoteTextChar"/>
    <w:uiPriority w:val="99"/>
    <w:semiHidden/>
    <w:unhideWhenUsed/>
    <w:rsid w:val="00845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91A"/>
    <w:rPr>
      <w:kern w:val="0"/>
      <w:sz w:val="20"/>
      <w:szCs w:val="20"/>
      <w:lang w:val="en-US"/>
      <w14:ligatures w14:val="none"/>
    </w:rPr>
  </w:style>
  <w:style w:type="character" w:styleId="FootnoteReference">
    <w:name w:val="footnote reference"/>
    <w:basedOn w:val="DefaultParagraphFont"/>
    <w:uiPriority w:val="99"/>
    <w:semiHidden/>
    <w:unhideWhenUsed/>
    <w:rsid w:val="0084591A"/>
    <w:rPr>
      <w:vertAlign w:val="superscript"/>
    </w:rPr>
  </w:style>
  <w:style w:type="character" w:customStyle="1" w:styleId="xxcontentpasted0">
    <w:name w:val="x_x_contentpasted0"/>
    <w:basedOn w:val="DefaultParagraphFont"/>
    <w:rsid w:val="0084591A"/>
  </w:style>
  <w:style w:type="paragraph" w:styleId="NoSpacing">
    <w:name w:val="No Spacing"/>
    <w:uiPriority w:val="1"/>
    <w:qFormat/>
    <w:rsid w:val="0081034D"/>
    <w:rPr>
      <w:rFonts w:ascii="Arial" w:hAnsi="Arial"/>
      <w:kern w:val="0"/>
      <w:sz w:val="22"/>
      <w:szCs w:val="22"/>
      <w:lang w:val="en-US"/>
      <w14:ligatures w14:val="none"/>
    </w:rPr>
  </w:style>
  <w:style w:type="paragraph" w:styleId="Title">
    <w:name w:val="Title"/>
    <w:basedOn w:val="Normal"/>
    <w:next w:val="Normal"/>
    <w:link w:val="TitleChar"/>
    <w:uiPriority w:val="10"/>
    <w:qFormat/>
    <w:rsid w:val="0081034D"/>
    <w:pPr>
      <w:spacing w:after="0" w:line="240" w:lineRule="auto"/>
      <w:contextualSpacing/>
    </w:pPr>
    <w:rPr>
      <w:rFonts w:ascii="Lato" w:eastAsiaTheme="majorEastAsia" w:hAnsi="Lato" w:cstheme="majorBidi"/>
      <w:b/>
      <w:color w:val="002060"/>
      <w:spacing w:val="-10"/>
      <w:kern w:val="28"/>
      <w:sz w:val="44"/>
      <w:szCs w:val="56"/>
    </w:rPr>
  </w:style>
  <w:style w:type="character" w:customStyle="1" w:styleId="TitleChar">
    <w:name w:val="Title Char"/>
    <w:basedOn w:val="DefaultParagraphFont"/>
    <w:link w:val="Title"/>
    <w:uiPriority w:val="10"/>
    <w:rsid w:val="0081034D"/>
    <w:rPr>
      <w:rFonts w:ascii="Lato" w:eastAsiaTheme="majorEastAsia" w:hAnsi="Lato" w:cstheme="majorBidi"/>
      <w:b/>
      <w:color w:val="002060"/>
      <w:spacing w:val="-10"/>
      <w:kern w:val="28"/>
      <w:sz w:val="44"/>
      <w:szCs w:val="56"/>
      <w:lang w:val="en-US"/>
      <w14:ligatures w14:val="none"/>
    </w:rPr>
  </w:style>
  <w:style w:type="character" w:styleId="FollowedHyperlink">
    <w:name w:val="FollowedHyperlink"/>
    <w:basedOn w:val="DefaultParagraphFont"/>
    <w:uiPriority w:val="99"/>
    <w:semiHidden/>
    <w:unhideWhenUsed/>
    <w:rsid w:val="0081034D"/>
    <w:rPr>
      <w:color w:val="954F72" w:themeColor="followedHyperlink"/>
      <w:u w:val="single"/>
    </w:rPr>
  </w:style>
  <w:style w:type="character" w:styleId="PageNumber">
    <w:name w:val="page number"/>
    <w:basedOn w:val="DefaultParagraphFont"/>
    <w:uiPriority w:val="99"/>
    <w:semiHidden/>
    <w:unhideWhenUsed/>
    <w:rsid w:val="0081034D"/>
  </w:style>
  <w:style w:type="paragraph" w:styleId="TOCHeading">
    <w:name w:val="TOC Heading"/>
    <w:basedOn w:val="Heading1"/>
    <w:next w:val="Normal"/>
    <w:uiPriority w:val="39"/>
    <w:unhideWhenUsed/>
    <w:qFormat/>
    <w:rsid w:val="00BF6CD5"/>
    <w:pPr>
      <w:spacing w:before="480" w:after="0"/>
      <w:outlineLvl w:val="9"/>
    </w:pPr>
    <w:rPr>
      <w:rFonts w:asciiTheme="majorHAnsi" w:eastAsiaTheme="majorEastAsia" w:hAnsiTheme="majorHAnsi" w:cstheme="majorBidi"/>
      <w:bCs/>
      <w:color w:val="2F5496" w:themeColor="accent1" w:themeShade="BF"/>
      <w:szCs w:val="28"/>
      <w:lang w:val="en-US"/>
    </w:rPr>
  </w:style>
  <w:style w:type="paragraph" w:styleId="TOC1">
    <w:name w:val="toc 1"/>
    <w:basedOn w:val="Normal"/>
    <w:next w:val="Normal"/>
    <w:autoRedefine/>
    <w:uiPriority w:val="39"/>
    <w:unhideWhenUsed/>
    <w:rsid w:val="00F51A42"/>
    <w:pPr>
      <w:tabs>
        <w:tab w:val="right" w:leader="dot" w:pos="10070"/>
      </w:tabs>
      <w:spacing w:before="120" w:after="0"/>
    </w:pPr>
    <w:rPr>
      <w:rFonts w:asciiTheme="minorHAnsi" w:hAnsiTheme="minorHAnsi" w:cstheme="minorHAnsi"/>
      <w:b/>
      <w:bCs/>
      <w:noProof/>
      <w:szCs w:val="24"/>
    </w:rPr>
  </w:style>
  <w:style w:type="paragraph" w:styleId="TOC2">
    <w:name w:val="toc 2"/>
    <w:basedOn w:val="Normal"/>
    <w:next w:val="Normal"/>
    <w:autoRedefine/>
    <w:uiPriority w:val="39"/>
    <w:unhideWhenUsed/>
    <w:rsid w:val="00BF6CD5"/>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BF6CD5"/>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F6CD5"/>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F6CD5"/>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F6CD5"/>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F6CD5"/>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F6CD5"/>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F6CD5"/>
    <w:pPr>
      <w:spacing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CE4238"/>
    <w:rPr>
      <w:color w:val="605E5C"/>
      <w:shd w:val="clear" w:color="auto" w:fill="E1DFDD"/>
    </w:rPr>
  </w:style>
  <w:style w:type="paragraph" w:customStyle="1" w:styleId="Default">
    <w:name w:val="Default"/>
    <w:rsid w:val="00DF021C"/>
    <w:pPr>
      <w:autoSpaceDE w:val="0"/>
      <w:autoSpaceDN w:val="0"/>
      <w:adjustRightInd w:val="0"/>
    </w:pPr>
    <w:rPr>
      <w:rFonts w:ascii="Cambria" w:hAnsi="Cambria" w:cs="Cambria"/>
      <w:color w:val="000000"/>
      <w:kern w:val="0"/>
      <w:lang w:val="en-US"/>
      <w14:ligatures w14:val="none"/>
    </w:rPr>
  </w:style>
  <w:style w:type="character" w:customStyle="1" w:styleId="Heading3Char">
    <w:name w:val="Heading 3 Char"/>
    <w:basedOn w:val="DefaultParagraphFont"/>
    <w:link w:val="Heading3"/>
    <w:uiPriority w:val="9"/>
    <w:rsid w:val="00707EB3"/>
    <w:rPr>
      <w:rFonts w:ascii="Lato" w:eastAsia="Arial" w:hAnsi="Lato" w:cstheme="minorHAnsi"/>
      <w:b/>
      <w:bCs/>
      <w:color w:val="00274A"/>
      <w:spacing w:val="-1"/>
      <w:kern w:val="0"/>
      <w:sz w:val="28"/>
      <w:szCs w:val="28"/>
      <w:lang w:val="en"/>
      <w14:ligatures w14:val="none"/>
    </w:rPr>
  </w:style>
  <w:style w:type="table" w:styleId="GridTable4">
    <w:name w:val="Grid Table 4"/>
    <w:basedOn w:val="TableNormal"/>
    <w:uiPriority w:val="49"/>
    <w:rsid w:val="00C16153"/>
    <w:rPr>
      <w:kern w:val="0"/>
      <w:sz w:val="22"/>
      <w:szCs w:val="22"/>
      <w:lang w:val="en-US"/>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1"/>
    <w:qFormat/>
    <w:rsid w:val="00707EB3"/>
    <w:pPr>
      <w:widowControl w:val="0"/>
      <w:spacing w:after="0" w:line="240" w:lineRule="auto"/>
      <w:ind w:left="840" w:hanging="360"/>
    </w:pPr>
    <w:rPr>
      <w:rFonts w:ascii="Calibri" w:eastAsia="Calibri" w:hAnsi="Calibri"/>
      <w:sz w:val="22"/>
    </w:rPr>
  </w:style>
  <w:style w:type="character" w:customStyle="1" w:styleId="BodyTextChar">
    <w:name w:val="Body Text Char"/>
    <w:basedOn w:val="DefaultParagraphFont"/>
    <w:link w:val="BodyText"/>
    <w:uiPriority w:val="1"/>
    <w:rsid w:val="00707EB3"/>
    <w:rPr>
      <w:rFonts w:ascii="Calibri" w:eastAsia="Calibri" w:hAnsi="Calibri"/>
      <w:kern w:val="0"/>
      <w:sz w:val="22"/>
      <w:szCs w:val="22"/>
      <w:lang w:val="en-US"/>
      <w14:ligatures w14:val="none"/>
    </w:rPr>
  </w:style>
  <w:style w:type="paragraph" w:styleId="Subtitle">
    <w:name w:val="Subtitle"/>
    <w:basedOn w:val="Title"/>
    <w:next w:val="Normal"/>
    <w:link w:val="SubtitleChar"/>
    <w:uiPriority w:val="11"/>
    <w:qFormat/>
    <w:rsid w:val="008057C0"/>
    <w:rPr>
      <w:rFonts w:eastAsia="Franklin Gothic Book" w:cs="Times New Roman"/>
      <w:bCs/>
      <w:noProof/>
      <w:color w:val="00274A"/>
      <w:kern w:val="20"/>
      <w:sz w:val="72"/>
      <w:szCs w:val="160"/>
      <w:lang w:eastAsia="ja-JP"/>
    </w:rPr>
  </w:style>
  <w:style w:type="character" w:customStyle="1" w:styleId="SubtitleChar">
    <w:name w:val="Subtitle Char"/>
    <w:basedOn w:val="DefaultParagraphFont"/>
    <w:link w:val="Subtitle"/>
    <w:uiPriority w:val="11"/>
    <w:rsid w:val="008057C0"/>
    <w:rPr>
      <w:rFonts w:ascii="Lato" w:eastAsia="Franklin Gothic Book" w:hAnsi="Lato" w:cs="Times New Roman"/>
      <w:b/>
      <w:bCs/>
      <w:noProof/>
      <w:color w:val="00274A"/>
      <w:spacing w:val="-10"/>
      <w:kern w:val="20"/>
      <w:sz w:val="72"/>
      <w:szCs w:val="160"/>
      <w:lang w:val="en-US"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dth.ca/real-world-evidence-decision-mak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cyberimpact.com/newsletter-view-online?ct=hyymS32nD75rYAFQx84VjvimuFZRQBANMbYM221flZ2wnlnjM9UrRY9i83ru4J2nY7AVhQ7B43JUyKKgjYqAfQ~~"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4BE28-752A-7946-A8BA-7EC1471B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16</Pages>
  <Words>4051</Words>
  <Characters>21888</Characters>
  <Application>Microsoft Office Word</Application>
  <DocSecurity>0</DocSecurity>
  <Lines>452</Lines>
  <Paragraphs>189</Paragraphs>
  <ScaleCrop>false</ScaleCrop>
  <HeadingPairs>
    <vt:vector size="2" baseType="variant">
      <vt:variant>
        <vt:lpstr>Title</vt:lpstr>
      </vt:variant>
      <vt:variant>
        <vt:i4>1</vt:i4>
      </vt:variant>
    </vt:vector>
  </HeadingPairs>
  <TitlesOfParts>
    <vt:vector size="1" baseType="lpstr">
      <vt:lpstr>Scientific Director Report February 2023</vt:lpstr>
    </vt:vector>
  </TitlesOfParts>
  <Manager/>
  <Company/>
  <LinksUpToDate>false</LinksUpToDate>
  <CharactersWithSpaces>25888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Director Report May 2022</dc:title>
  <dc:subject/>
  <dc:creator>HDRN Canada</dc:creator>
  <cp:keywords/>
  <dc:description/>
  <cp:lastModifiedBy>Shazmeen Omar</cp:lastModifiedBy>
  <cp:revision>4</cp:revision>
  <dcterms:created xsi:type="dcterms:W3CDTF">2023-07-17T15:52:00Z</dcterms:created>
  <dcterms:modified xsi:type="dcterms:W3CDTF">2023-07-17T18:03:00Z</dcterms:modified>
  <cp:category/>
</cp:coreProperties>
</file>