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0AEA3C" w14:textId="77777777" w:rsidR="009D555A" w:rsidRDefault="00000000">
      <w:pPr>
        <w:pStyle w:val="Title"/>
        <w:rPr>
          <w:color w:val="00274A"/>
        </w:rPr>
      </w:pPr>
      <w:r>
        <w:rPr>
          <w:color w:val="00274A"/>
        </w:rPr>
        <w:t xml:space="preserve">RRDS Canada </w:t>
      </w:r>
    </w:p>
    <w:p w14:paraId="17C8CEB3" w14:textId="77777777" w:rsidR="009D555A" w:rsidRDefault="00000000">
      <w:pPr>
        <w:pStyle w:val="Subtitle"/>
        <w:spacing w:before="240"/>
        <w:rPr>
          <w:sz w:val="56"/>
          <w:szCs w:val="56"/>
        </w:rPr>
      </w:pPr>
      <w:r>
        <w:rPr>
          <w:sz w:val="56"/>
          <w:szCs w:val="56"/>
        </w:rPr>
        <w:t xml:space="preserve">Rapport de la directrice générale et directrice scientifique </w:t>
      </w:r>
    </w:p>
    <w:p w14:paraId="0DAE66C6" w14:textId="77777777" w:rsidR="009D555A" w:rsidRDefault="00000000">
      <w:pPr>
        <w:pBdr>
          <w:top w:val="nil"/>
          <w:left w:val="nil"/>
          <w:bottom w:val="nil"/>
          <w:right w:val="nil"/>
          <w:between w:val="nil"/>
        </w:pBdr>
        <w:spacing w:before="200" w:after="0" w:line="480" w:lineRule="auto"/>
        <w:rPr>
          <w:rFonts w:ascii="Lato" w:eastAsia="Lato" w:hAnsi="Lato" w:cs="Lato"/>
          <w:b/>
          <w:bCs/>
          <w:color w:val="00274A"/>
          <w:sz w:val="44"/>
          <w:szCs w:val="44"/>
        </w:rPr>
      </w:pPr>
      <w:r>
        <w:rPr>
          <w:rFonts w:ascii="Lato" w:eastAsia="Lato" w:hAnsi="Lato" w:cs="Lato"/>
          <w:b/>
          <w:bCs/>
          <w:color w:val="00274A"/>
          <w:sz w:val="44"/>
          <w:szCs w:val="44"/>
        </w:rPr>
        <w:t>13 mai 2026</w:t>
      </w:r>
      <w:r>
        <w:br w:type="page"/>
      </w:r>
    </w:p>
    <w:p w14:paraId="76A960D1" w14:textId="77777777" w:rsidR="009D555A" w:rsidRDefault="00000000">
      <w:pPr>
        <w:pStyle w:val="Title"/>
        <w:spacing w:after="200"/>
        <w:rPr>
          <w:rFonts w:ascii="Arial" w:eastAsia="Arial" w:hAnsi="Arial" w:cs="Arial"/>
          <w:color w:val="006A78"/>
          <w:sz w:val="36"/>
          <w:szCs w:val="36"/>
        </w:rPr>
      </w:pPr>
      <w:r>
        <w:rPr>
          <w:color w:val="006A78"/>
          <w:sz w:val="36"/>
          <w:szCs w:val="36"/>
        </w:rPr>
        <w:lastRenderedPageBreak/>
        <w:t>Table des matières</w:t>
      </w:r>
    </w:p>
    <w:p w14:paraId="5AF4162E" w14:textId="77777777" w:rsidR="009D555A" w:rsidRDefault="009D555A">
      <w:pPr>
        <w:keepNext/>
        <w:keepLines/>
        <w:pBdr>
          <w:top w:val="nil"/>
          <w:left w:val="nil"/>
          <w:bottom w:val="nil"/>
          <w:right w:val="nil"/>
          <w:between w:val="nil"/>
        </w:pBdr>
        <w:spacing w:before="240" w:after="0" w:line="259" w:lineRule="auto"/>
        <w:rPr>
          <w:rFonts w:ascii="Calibri" w:eastAsia="Calibri" w:hAnsi="Calibri" w:cs="Calibri"/>
          <w:color w:val="366091"/>
          <w:sz w:val="32"/>
          <w:szCs w:val="32"/>
        </w:rPr>
      </w:pPr>
    </w:p>
    <w:sdt>
      <w:sdtPr>
        <w:id w:val="-1737448883"/>
        <w:docPartObj>
          <w:docPartGallery w:val="Table of Contents"/>
          <w:docPartUnique/>
        </w:docPartObj>
      </w:sdtPr>
      <w:sdtContent>
        <w:p w14:paraId="6103BE0C" w14:textId="77777777" w:rsidR="009D555A" w:rsidRDefault="00000000">
          <w:pPr>
            <w:pBdr>
              <w:top w:val="nil"/>
              <w:left w:val="nil"/>
              <w:bottom w:val="nil"/>
              <w:right w:val="nil"/>
              <w:between w:val="nil"/>
            </w:pBdr>
            <w:tabs>
              <w:tab w:val="right" w:pos="10070"/>
            </w:tabs>
            <w:spacing w:after="100"/>
            <w:rPr>
              <w:color w:val="000000"/>
            </w:rPr>
          </w:pPr>
          <w:r>
            <w:fldChar w:fldCharType="begin"/>
          </w:r>
          <w:r>
            <w:instrText xml:space="preserve"> TOC \h \u \z \t "Heading 1,1,Heading 2,2,Heading 3,3,"</w:instrText>
          </w:r>
          <w:r>
            <w:fldChar w:fldCharType="separate"/>
          </w:r>
          <w:hyperlink w:anchor="_heading=h.vl3litk4hi3n">
            <w:r>
              <w:rPr>
                <w:color w:val="000000"/>
              </w:rPr>
              <w:t>Section 1 : Tableau de bord des indicateurs de performance organisationnelle</w:t>
            </w:r>
            <w:r>
              <w:rPr>
                <w:color w:val="000000"/>
              </w:rPr>
              <w:tab/>
              <w:t>3</w:t>
            </w:r>
          </w:hyperlink>
        </w:p>
        <w:p w14:paraId="679EBC4E" w14:textId="77777777" w:rsidR="009D555A" w:rsidRDefault="00000000">
          <w:pPr>
            <w:pBdr>
              <w:top w:val="nil"/>
              <w:left w:val="nil"/>
              <w:bottom w:val="nil"/>
              <w:right w:val="nil"/>
              <w:between w:val="nil"/>
            </w:pBdr>
            <w:tabs>
              <w:tab w:val="right" w:pos="10070"/>
            </w:tabs>
            <w:spacing w:after="100"/>
            <w:rPr>
              <w:color w:val="000000"/>
            </w:rPr>
          </w:pPr>
          <w:hyperlink w:anchor="_heading=h.gdan1ri3c3w8">
            <w:r>
              <w:rPr>
                <w:color w:val="000000"/>
              </w:rPr>
              <w:t>Section 2 : Principales réalisations concernant les engagements stratégiques</w:t>
            </w:r>
            <w:r>
              <w:rPr>
                <w:color w:val="000000"/>
              </w:rPr>
              <w:tab/>
              <w:t>4</w:t>
            </w:r>
          </w:hyperlink>
        </w:p>
        <w:p w14:paraId="4FAAF665" w14:textId="77777777" w:rsidR="009D555A" w:rsidRDefault="00000000">
          <w:pPr>
            <w:pBdr>
              <w:top w:val="nil"/>
              <w:left w:val="nil"/>
              <w:bottom w:val="nil"/>
              <w:right w:val="nil"/>
              <w:between w:val="nil"/>
            </w:pBdr>
            <w:tabs>
              <w:tab w:val="right" w:pos="10070"/>
            </w:tabs>
            <w:spacing w:after="100"/>
            <w:ind w:left="240"/>
            <w:rPr>
              <w:color w:val="000000"/>
            </w:rPr>
          </w:pPr>
          <w:hyperlink w:anchor="_heading=h.bhrcw9ghntzg">
            <w:r>
              <w:rPr>
                <w:color w:val="000000"/>
              </w:rPr>
              <w:t>Objectif 1 : Développer et améliorer les services et le soutien à l’accès aux données</w:t>
            </w:r>
            <w:r>
              <w:rPr>
                <w:color w:val="000000"/>
              </w:rPr>
              <w:tab/>
              <w:t>4</w:t>
            </w:r>
          </w:hyperlink>
        </w:p>
        <w:p w14:paraId="6CBB5668" w14:textId="77777777" w:rsidR="009D555A" w:rsidRDefault="00000000">
          <w:pPr>
            <w:pBdr>
              <w:top w:val="nil"/>
              <w:left w:val="nil"/>
              <w:bottom w:val="nil"/>
              <w:right w:val="nil"/>
              <w:between w:val="nil"/>
            </w:pBdr>
            <w:tabs>
              <w:tab w:val="right" w:pos="10070"/>
            </w:tabs>
            <w:spacing w:after="100"/>
            <w:ind w:left="240"/>
            <w:rPr>
              <w:color w:val="000000"/>
            </w:rPr>
          </w:pPr>
          <w:hyperlink w:anchor="_heading=h.oqmdzdad3qde">
            <w:r>
              <w:rPr>
                <w:color w:val="000000"/>
              </w:rPr>
              <w:t>Objectif 2 : Diversifier et harmoniser les données, et soutenir une utilisation des données innovante et respectueuse de la vie privée</w:t>
            </w:r>
            <w:r>
              <w:rPr>
                <w:color w:val="000000"/>
              </w:rPr>
              <w:tab/>
              <w:t>5</w:t>
            </w:r>
          </w:hyperlink>
        </w:p>
        <w:p w14:paraId="69EECC30" w14:textId="77777777" w:rsidR="009D555A" w:rsidRDefault="00000000">
          <w:pPr>
            <w:pBdr>
              <w:top w:val="nil"/>
              <w:left w:val="nil"/>
              <w:bottom w:val="nil"/>
              <w:right w:val="nil"/>
              <w:between w:val="nil"/>
            </w:pBdr>
            <w:tabs>
              <w:tab w:val="right" w:pos="10070"/>
            </w:tabs>
            <w:spacing w:after="100"/>
            <w:ind w:left="240"/>
            <w:rPr>
              <w:color w:val="000000"/>
            </w:rPr>
          </w:pPr>
          <w:hyperlink w:anchor="_heading=h.afhdj8yw42zd">
            <w:r>
              <w:rPr>
                <w:color w:val="000000"/>
              </w:rPr>
              <w:t>Objectif 3 : Établir et renforcer les partenariats et faire preuve de leadership dans l’évolution des pratiques en matière de données</w:t>
            </w:r>
            <w:r>
              <w:rPr>
                <w:color w:val="000000"/>
              </w:rPr>
              <w:tab/>
              <w:t>7</w:t>
            </w:r>
          </w:hyperlink>
        </w:p>
        <w:p w14:paraId="091C49BF" w14:textId="77777777" w:rsidR="009D555A" w:rsidRDefault="00000000">
          <w:pPr>
            <w:pBdr>
              <w:top w:val="nil"/>
              <w:left w:val="nil"/>
              <w:bottom w:val="nil"/>
              <w:right w:val="nil"/>
              <w:between w:val="nil"/>
            </w:pBdr>
            <w:tabs>
              <w:tab w:val="right" w:pos="10070"/>
            </w:tabs>
            <w:spacing w:after="100"/>
            <w:ind w:left="240"/>
            <w:rPr>
              <w:color w:val="000000"/>
            </w:rPr>
          </w:pPr>
          <w:hyperlink w:anchor="_heading=h.prn9ri742ekc">
            <w:r>
              <w:rPr>
                <w:color w:val="000000"/>
              </w:rPr>
              <w:t>Objectif 4 : Renforcer l’utilisation des données pour améliorer l’équité et soutenir la souveraineté des données dirigées par les peuples autochtones</w:t>
            </w:r>
            <w:r>
              <w:rPr>
                <w:color w:val="000000"/>
              </w:rPr>
              <w:tab/>
              <w:t>10</w:t>
            </w:r>
          </w:hyperlink>
        </w:p>
        <w:p w14:paraId="1D45E4FA" w14:textId="77777777" w:rsidR="009D555A" w:rsidRDefault="00000000">
          <w:pPr>
            <w:pBdr>
              <w:top w:val="nil"/>
              <w:left w:val="nil"/>
              <w:bottom w:val="nil"/>
              <w:right w:val="nil"/>
              <w:between w:val="nil"/>
            </w:pBdr>
            <w:tabs>
              <w:tab w:val="right" w:pos="10070"/>
            </w:tabs>
            <w:spacing w:after="100"/>
            <w:ind w:left="240"/>
            <w:rPr>
              <w:color w:val="000000"/>
            </w:rPr>
          </w:pPr>
          <w:hyperlink w:anchor="_heading=h.5oh14me2y2g5">
            <w:r>
              <w:rPr>
                <w:color w:val="000000"/>
              </w:rPr>
              <w:t>Objectif 5 : Assurer une participation publique et communautaire intentionnelle et continue</w:t>
            </w:r>
            <w:r>
              <w:rPr>
                <w:color w:val="000000"/>
              </w:rPr>
              <w:tab/>
              <w:t>14</w:t>
            </w:r>
          </w:hyperlink>
        </w:p>
        <w:p w14:paraId="1D6E1454" w14:textId="77777777" w:rsidR="009D555A" w:rsidRDefault="00000000">
          <w:pPr>
            <w:pBdr>
              <w:top w:val="nil"/>
              <w:left w:val="nil"/>
              <w:bottom w:val="nil"/>
              <w:right w:val="nil"/>
              <w:between w:val="nil"/>
            </w:pBdr>
            <w:tabs>
              <w:tab w:val="right" w:pos="10070"/>
            </w:tabs>
            <w:spacing w:after="100"/>
            <w:ind w:left="240"/>
            <w:rPr>
              <w:color w:val="000000"/>
            </w:rPr>
          </w:pPr>
          <w:hyperlink w:anchor="_heading=h.tguxbjlay0mo">
            <w:r>
              <w:rPr>
                <w:color w:val="000000"/>
              </w:rPr>
              <w:t>Facteur de réussite : un réseau cohésif avec des activités efficaces et durables</w:t>
            </w:r>
            <w:r>
              <w:rPr>
                <w:color w:val="000000"/>
              </w:rPr>
              <w:tab/>
              <w:t>16</w:t>
            </w:r>
          </w:hyperlink>
        </w:p>
        <w:p w14:paraId="230E9543" w14:textId="77777777" w:rsidR="009D555A" w:rsidRDefault="00000000">
          <w:pPr>
            <w:pBdr>
              <w:top w:val="nil"/>
              <w:left w:val="nil"/>
              <w:bottom w:val="nil"/>
              <w:right w:val="nil"/>
              <w:between w:val="nil"/>
            </w:pBdr>
            <w:tabs>
              <w:tab w:val="right" w:pos="10070"/>
            </w:tabs>
            <w:spacing w:after="100"/>
            <w:ind w:left="240"/>
            <w:rPr>
              <w:color w:val="000000"/>
            </w:rPr>
          </w:pPr>
          <w:hyperlink w:anchor="_heading=h.gfdq5qqrfj8g">
            <w:r>
              <w:rPr>
                <w:color w:val="000000"/>
              </w:rPr>
              <w:t>Facteur de réussite : un écosystème législatif et stratégique favorable et engagé et une communauté d’utilisateurs de données active</w:t>
            </w:r>
            <w:r>
              <w:rPr>
                <w:color w:val="000000"/>
              </w:rPr>
              <w:tab/>
              <w:t>17</w:t>
            </w:r>
          </w:hyperlink>
        </w:p>
        <w:p w14:paraId="0180EE68" w14:textId="77777777" w:rsidR="009D555A" w:rsidRDefault="00000000">
          <w:r>
            <w:fldChar w:fldCharType="end"/>
          </w:r>
        </w:p>
      </w:sdtContent>
    </w:sdt>
    <w:p w14:paraId="4A46AEB3" w14:textId="77777777" w:rsidR="009D555A" w:rsidRDefault="009D555A">
      <w:pPr>
        <w:spacing w:after="0"/>
        <w:rPr>
          <w:rFonts w:ascii="Lato" w:eastAsia="Lato" w:hAnsi="Lato" w:cs="Lato"/>
          <w:b/>
          <w:bCs/>
          <w:color w:val="006A78"/>
          <w:sz w:val="36"/>
          <w:szCs w:val="36"/>
        </w:rPr>
      </w:pPr>
    </w:p>
    <w:p w14:paraId="14A8D53C" w14:textId="77777777" w:rsidR="009D555A" w:rsidRDefault="00000000">
      <w:pPr>
        <w:spacing w:after="0"/>
        <w:rPr>
          <w:rFonts w:ascii="Lato" w:eastAsia="Lato" w:hAnsi="Lato" w:cs="Lato"/>
          <w:b/>
          <w:bCs/>
          <w:color w:val="006A78"/>
          <w:sz w:val="36"/>
          <w:szCs w:val="36"/>
        </w:rPr>
      </w:pPr>
      <w:r>
        <w:rPr>
          <w:rFonts w:ascii="Lato" w:eastAsia="Lato" w:hAnsi="Lato" w:cs="Lato"/>
          <w:b/>
          <w:bCs/>
          <w:color w:val="006A78"/>
          <w:sz w:val="36"/>
          <w:szCs w:val="36"/>
        </w:rPr>
        <w:t>Abréviations</w:t>
      </w:r>
    </w:p>
    <w:p w14:paraId="2C091353" w14:textId="77777777" w:rsidR="009D555A" w:rsidRDefault="00000000">
      <w:pPr>
        <w:spacing w:after="0" w:line="276" w:lineRule="auto"/>
        <w:rPr>
          <w:sz w:val="22"/>
          <w:szCs w:val="22"/>
        </w:rPr>
      </w:pPr>
      <w:r>
        <w:rPr>
          <w:b/>
          <w:bCs/>
          <w:sz w:val="22"/>
          <w:szCs w:val="22"/>
        </w:rPr>
        <w:t xml:space="preserve">ARCHIMEDES : </w:t>
      </w:r>
      <w:r>
        <w:rPr>
          <w:sz w:val="22"/>
          <w:szCs w:val="22"/>
        </w:rPr>
        <w:t xml:space="preserve">Collaboration de recherche avancée pour l’intégration de la santé, l’exploration médicale et la synthèse de données </w:t>
      </w:r>
    </w:p>
    <w:p w14:paraId="7337174A" w14:textId="77777777" w:rsidR="009D555A" w:rsidRDefault="00000000">
      <w:pPr>
        <w:spacing w:after="0" w:line="276" w:lineRule="auto"/>
        <w:rPr>
          <w:i/>
          <w:iCs/>
          <w:sz w:val="22"/>
          <w:szCs w:val="22"/>
        </w:rPr>
      </w:pPr>
      <w:r>
        <w:rPr>
          <w:b/>
          <w:bCs/>
          <w:sz w:val="22"/>
          <w:szCs w:val="22"/>
        </w:rPr>
        <w:t>CAN-ASK :</w:t>
      </w:r>
      <w:r>
        <w:rPr>
          <w:sz w:val="22"/>
          <w:szCs w:val="22"/>
        </w:rPr>
        <w:t xml:space="preserve"> Projet pancanadien de service d’analyse de données pour les utilisateurs de connaissances</w:t>
      </w:r>
    </w:p>
    <w:p w14:paraId="23855E4E" w14:textId="77777777" w:rsidR="009D555A" w:rsidRDefault="00000000">
      <w:pPr>
        <w:spacing w:after="0" w:line="276" w:lineRule="auto"/>
        <w:rPr>
          <w:i/>
          <w:iCs/>
          <w:sz w:val="22"/>
          <w:szCs w:val="22"/>
        </w:rPr>
      </w:pPr>
      <w:proofErr w:type="spellStart"/>
      <w:r>
        <w:rPr>
          <w:b/>
          <w:bCs/>
          <w:sz w:val="22"/>
          <w:szCs w:val="22"/>
        </w:rPr>
        <w:t>CanPath</w:t>
      </w:r>
      <w:proofErr w:type="spellEnd"/>
      <w:r>
        <w:rPr>
          <w:b/>
          <w:bCs/>
          <w:sz w:val="22"/>
          <w:szCs w:val="22"/>
        </w:rPr>
        <w:t> :</w:t>
      </w:r>
      <w:r>
        <w:rPr>
          <w:sz w:val="22"/>
          <w:szCs w:val="22"/>
        </w:rPr>
        <w:t xml:space="preserve"> Partenariat canadien pour la santé de demain : </w:t>
      </w:r>
      <w:r>
        <w:rPr>
          <w:i/>
          <w:iCs/>
          <w:sz w:val="22"/>
          <w:szCs w:val="22"/>
        </w:rPr>
        <w:t xml:space="preserve">Une grande cohorte longitudinale </w:t>
      </w:r>
    </w:p>
    <w:p w14:paraId="4E7FA9E1" w14:textId="77777777" w:rsidR="009D555A" w:rsidRDefault="00000000">
      <w:pPr>
        <w:spacing w:after="0" w:line="276" w:lineRule="auto"/>
        <w:rPr>
          <w:sz w:val="22"/>
          <w:szCs w:val="22"/>
        </w:rPr>
      </w:pPr>
      <w:proofErr w:type="spellStart"/>
      <w:r>
        <w:rPr>
          <w:b/>
          <w:bCs/>
          <w:sz w:val="22"/>
          <w:szCs w:val="22"/>
        </w:rPr>
        <w:t>CanSPARK</w:t>
      </w:r>
      <w:proofErr w:type="spellEnd"/>
      <w:r>
        <w:rPr>
          <w:b/>
          <w:bCs/>
          <w:sz w:val="22"/>
          <w:szCs w:val="22"/>
        </w:rPr>
        <w:t xml:space="preserve"> LTC :</w:t>
      </w:r>
      <w:r>
        <w:rPr>
          <w:sz w:val="22"/>
          <w:szCs w:val="22"/>
        </w:rPr>
        <w:t xml:space="preserve"> Canada </w:t>
      </w:r>
      <w:proofErr w:type="spellStart"/>
      <w:r>
        <w:rPr>
          <w:sz w:val="22"/>
          <w:szCs w:val="22"/>
        </w:rPr>
        <w:t>Supporting</w:t>
      </w:r>
      <w:proofErr w:type="spellEnd"/>
      <w:r>
        <w:rPr>
          <w:sz w:val="22"/>
          <w:szCs w:val="22"/>
        </w:rPr>
        <w:t xml:space="preserve"> Partnerships to Advance </w:t>
      </w:r>
      <w:proofErr w:type="spellStart"/>
      <w:r>
        <w:rPr>
          <w:sz w:val="22"/>
          <w:szCs w:val="22"/>
        </w:rPr>
        <w:t>caRe</w:t>
      </w:r>
      <w:proofErr w:type="spellEnd"/>
      <w:r>
        <w:rPr>
          <w:sz w:val="22"/>
          <w:szCs w:val="22"/>
        </w:rPr>
        <w:t xml:space="preserve"> and Knowledge in Long-</w:t>
      </w:r>
      <w:proofErr w:type="spellStart"/>
      <w:r>
        <w:rPr>
          <w:sz w:val="22"/>
          <w:szCs w:val="22"/>
        </w:rPr>
        <w:t>Term</w:t>
      </w:r>
      <w:proofErr w:type="spellEnd"/>
      <w:r>
        <w:rPr>
          <w:sz w:val="22"/>
          <w:szCs w:val="22"/>
        </w:rPr>
        <w:t xml:space="preserve"> Care </w:t>
      </w:r>
    </w:p>
    <w:p w14:paraId="12A50AE3" w14:textId="77777777" w:rsidR="009D555A" w:rsidRDefault="00000000">
      <w:pPr>
        <w:spacing w:after="0" w:line="276" w:lineRule="auto"/>
        <w:rPr>
          <w:sz w:val="22"/>
          <w:szCs w:val="22"/>
        </w:rPr>
      </w:pPr>
      <w:r>
        <w:rPr>
          <w:b/>
          <w:bCs/>
          <w:sz w:val="22"/>
          <w:szCs w:val="22"/>
        </w:rPr>
        <w:t>MCD :</w:t>
      </w:r>
      <w:r>
        <w:rPr>
          <w:sz w:val="22"/>
          <w:szCs w:val="22"/>
        </w:rPr>
        <w:t xml:space="preserve"> Modèle de données commun</w:t>
      </w:r>
    </w:p>
    <w:p w14:paraId="609F5A63" w14:textId="77777777" w:rsidR="009D555A" w:rsidRDefault="00000000">
      <w:pPr>
        <w:spacing w:after="0" w:line="276" w:lineRule="auto"/>
        <w:rPr>
          <w:sz w:val="22"/>
          <w:szCs w:val="22"/>
        </w:rPr>
      </w:pPr>
      <w:r>
        <w:rPr>
          <w:b/>
          <w:bCs/>
          <w:sz w:val="22"/>
          <w:szCs w:val="22"/>
        </w:rPr>
        <w:t>FCI :</w:t>
      </w:r>
      <w:r>
        <w:rPr>
          <w:sz w:val="22"/>
          <w:szCs w:val="22"/>
        </w:rPr>
        <w:t xml:space="preserve"> Fondation canadienne pour l’innovation</w:t>
      </w:r>
    </w:p>
    <w:p w14:paraId="5C5B8372" w14:textId="77777777" w:rsidR="009D555A" w:rsidRDefault="00000000">
      <w:pPr>
        <w:spacing w:after="0" w:line="276" w:lineRule="auto"/>
        <w:rPr>
          <w:sz w:val="22"/>
          <w:szCs w:val="22"/>
        </w:rPr>
      </w:pPr>
      <w:r>
        <w:rPr>
          <w:b/>
          <w:bCs/>
          <w:sz w:val="22"/>
          <w:szCs w:val="22"/>
        </w:rPr>
        <w:lastRenderedPageBreak/>
        <w:t>ICIS :</w:t>
      </w:r>
      <w:r>
        <w:rPr>
          <w:sz w:val="22"/>
          <w:szCs w:val="22"/>
        </w:rPr>
        <w:t xml:space="preserve"> Institut canadien d’information sur la santé</w:t>
      </w:r>
    </w:p>
    <w:p w14:paraId="3DCE9371" w14:textId="77777777" w:rsidR="009D555A" w:rsidRDefault="00000000">
      <w:pPr>
        <w:spacing w:after="0" w:line="276" w:lineRule="auto"/>
        <w:rPr>
          <w:sz w:val="22"/>
          <w:szCs w:val="22"/>
        </w:rPr>
      </w:pPr>
      <w:r>
        <w:rPr>
          <w:b/>
          <w:bCs/>
          <w:sz w:val="22"/>
          <w:szCs w:val="22"/>
        </w:rPr>
        <w:t>IRSC :</w:t>
      </w:r>
      <w:r>
        <w:rPr>
          <w:sz w:val="22"/>
          <w:szCs w:val="22"/>
        </w:rPr>
        <w:t xml:space="preserve"> Instituts de recherche en santé du Canada</w:t>
      </w:r>
    </w:p>
    <w:p w14:paraId="38FB2686" w14:textId="77777777" w:rsidR="009D555A" w:rsidRDefault="00000000">
      <w:pPr>
        <w:spacing w:after="0" w:line="276" w:lineRule="auto"/>
        <w:rPr>
          <w:sz w:val="22"/>
          <w:szCs w:val="22"/>
        </w:rPr>
      </w:pPr>
      <w:r>
        <w:rPr>
          <w:b/>
          <w:bCs/>
          <w:sz w:val="22"/>
          <w:szCs w:val="22"/>
        </w:rPr>
        <w:t>CNDR :</w:t>
      </w:r>
      <w:r>
        <w:rPr>
          <w:sz w:val="22"/>
          <w:szCs w:val="22"/>
        </w:rPr>
        <w:t xml:space="preserve"> Canadian </w:t>
      </w:r>
      <w:proofErr w:type="spellStart"/>
      <w:r>
        <w:rPr>
          <w:sz w:val="22"/>
          <w:szCs w:val="22"/>
        </w:rPr>
        <w:t>Neuromuscular</w:t>
      </w:r>
      <w:proofErr w:type="spellEnd"/>
      <w:r>
        <w:rPr>
          <w:sz w:val="22"/>
          <w:szCs w:val="22"/>
        </w:rPr>
        <w:t xml:space="preserve"> </w:t>
      </w:r>
      <w:proofErr w:type="spellStart"/>
      <w:r>
        <w:rPr>
          <w:sz w:val="22"/>
          <w:szCs w:val="22"/>
        </w:rPr>
        <w:t>Disease</w:t>
      </w:r>
      <w:proofErr w:type="spellEnd"/>
      <w:r>
        <w:rPr>
          <w:sz w:val="22"/>
          <w:szCs w:val="22"/>
        </w:rPr>
        <w:t xml:space="preserve"> </w:t>
      </w:r>
      <w:proofErr w:type="spellStart"/>
      <w:r>
        <w:rPr>
          <w:sz w:val="22"/>
          <w:szCs w:val="22"/>
        </w:rPr>
        <w:t>Registry</w:t>
      </w:r>
      <w:proofErr w:type="spellEnd"/>
    </w:p>
    <w:p w14:paraId="1601BFAB" w14:textId="77777777" w:rsidR="009D555A" w:rsidRDefault="00000000">
      <w:pPr>
        <w:spacing w:after="0" w:line="276" w:lineRule="auto"/>
        <w:rPr>
          <w:sz w:val="22"/>
          <w:szCs w:val="22"/>
        </w:rPr>
      </w:pPr>
      <w:r>
        <w:rPr>
          <w:b/>
          <w:bCs/>
          <w:sz w:val="22"/>
          <w:szCs w:val="22"/>
        </w:rPr>
        <w:t>CoRE :</w:t>
      </w:r>
      <w:r>
        <w:rPr>
          <w:sz w:val="22"/>
          <w:szCs w:val="22"/>
        </w:rPr>
        <w:t xml:space="preserve"> Canadian Centre for </w:t>
      </w:r>
      <w:proofErr w:type="spellStart"/>
      <w:r>
        <w:rPr>
          <w:sz w:val="22"/>
          <w:szCs w:val="22"/>
        </w:rPr>
        <w:t>Recovery</w:t>
      </w:r>
      <w:proofErr w:type="spellEnd"/>
      <w:r>
        <w:rPr>
          <w:sz w:val="22"/>
          <w:szCs w:val="22"/>
        </w:rPr>
        <w:t xml:space="preserve"> Excellence</w:t>
      </w:r>
    </w:p>
    <w:p w14:paraId="5C22C68E" w14:textId="77777777" w:rsidR="009D555A" w:rsidRDefault="00000000">
      <w:pPr>
        <w:spacing w:after="0" w:line="276" w:lineRule="auto"/>
        <w:rPr>
          <w:i/>
          <w:iCs/>
          <w:sz w:val="22"/>
          <w:szCs w:val="22"/>
        </w:rPr>
      </w:pPr>
      <w:r>
        <w:rPr>
          <w:b/>
          <w:bCs/>
          <w:sz w:val="22"/>
          <w:szCs w:val="22"/>
        </w:rPr>
        <w:t xml:space="preserve">DAI : </w:t>
      </w:r>
      <w:r>
        <w:rPr>
          <w:sz w:val="22"/>
          <w:szCs w:val="22"/>
        </w:rPr>
        <w:t xml:space="preserve">Inventaire des actifs de données : </w:t>
      </w:r>
      <w:r>
        <w:rPr>
          <w:i/>
          <w:iCs/>
          <w:sz w:val="22"/>
          <w:szCs w:val="22"/>
        </w:rPr>
        <w:t>Une des ressources développées par le RRDS Canada</w:t>
      </w:r>
    </w:p>
    <w:p w14:paraId="3D2821B5" w14:textId="77777777" w:rsidR="009D555A" w:rsidRDefault="00000000">
      <w:pPr>
        <w:spacing w:after="0" w:line="276" w:lineRule="auto"/>
        <w:rPr>
          <w:i/>
          <w:iCs/>
          <w:sz w:val="22"/>
          <w:szCs w:val="22"/>
        </w:rPr>
      </w:pPr>
      <w:r>
        <w:rPr>
          <w:b/>
          <w:bCs/>
          <w:sz w:val="22"/>
          <w:szCs w:val="22"/>
        </w:rPr>
        <w:t>GSAD :</w:t>
      </w:r>
      <w:r>
        <w:rPr>
          <w:sz w:val="22"/>
          <w:szCs w:val="22"/>
        </w:rPr>
        <w:t xml:space="preserve"> Guichet de soutien à l’accès aux données : </w:t>
      </w:r>
      <w:r>
        <w:rPr>
          <w:i/>
          <w:iCs/>
          <w:sz w:val="22"/>
          <w:szCs w:val="22"/>
        </w:rPr>
        <w:t>Une équipe au sein du RRDS Canada</w:t>
      </w:r>
    </w:p>
    <w:p w14:paraId="47A1FAB7" w14:textId="77777777" w:rsidR="009D555A" w:rsidRDefault="00000000">
      <w:pPr>
        <w:spacing w:after="0" w:line="276" w:lineRule="auto"/>
        <w:rPr>
          <w:i/>
          <w:iCs/>
          <w:sz w:val="22"/>
          <w:szCs w:val="22"/>
        </w:rPr>
      </w:pPr>
      <w:r>
        <w:rPr>
          <w:b/>
          <w:bCs/>
          <w:sz w:val="22"/>
          <w:szCs w:val="22"/>
        </w:rPr>
        <w:t xml:space="preserve">HDT : </w:t>
      </w:r>
      <w:r>
        <w:rPr>
          <w:sz w:val="22"/>
          <w:szCs w:val="22"/>
        </w:rPr>
        <w:t>Harmonisation des données et des outils :</w:t>
      </w:r>
      <w:r>
        <w:rPr>
          <w:i/>
          <w:iCs/>
          <w:sz w:val="22"/>
          <w:szCs w:val="22"/>
        </w:rPr>
        <w:t xml:space="preserve"> Une équipe du RRDS Canada</w:t>
      </w:r>
    </w:p>
    <w:p w14:paraId="2C1C0FC7" w14:textId="77777777" w:rsidR="009D555A" w:rsidRDefault="00000000">
      <w:pPr>
        <w:spacing w:after="0" w:line="276" w:lineRule="auto"/>
        <w:rPr>
          <w:sz w:val="22"/>
          <w:szCs w:val="22"/>
        </w:rPr>
      </w:pPr>
      <w:r>
        <w:rPr>
          <w:b/>
          <w:bCs/>
          <w:sz w:val="22"/>
          <w:szCs w:val="22"/>
        </w:rPr>
        <w:t>IDEA :</w:t>
      </w:r>
      <w:r>
        <w:rPr>
          <w:sz w:val="22"/>
          <w:szCs w:val="22"/>
        </w:rPr>
        <w:t xml:space="preserve"> Inclusion, diversité, équité et accessibilité</w:t>
      </w:r>
    </w:p>
    <w:p w14:paraId="4B962234" w14:textId="77777777" w:rsidR="009D555A" w:rsidRDefault="00000000">
      <w:pPr>
        <w:spacing w:after="0" w:line="276" w:lineRule="auto"/>
        <w:rPr>
          <w:sz w:val="22"/>
          <w:szCs w:val="22"/>
        </w:rPr>
      </w:pPr>
      <w:r>
        <w:rPr>
          <w:b/>
          <w:bCs/>
          <w:sz w:val="22"/>
          <w:szCs w:val="22"/>
        </w:rPr>
        <w:t>IDT :</w:t>
      </w:r>
      <w:r>
        <w:rPr>
          <w:sz w:val="22"/>
          <w:szCs w:val="22"/>
        </w:rPr>
        <w:t xml:space="preserve"> Équipe des données sur les Autochtones</w:t>
      </w:r>
    </w:p>
    <w:p w14:paraId="59AB07B8" w14:textId="77777777" w:rsidR="009D555A" w:rsidRDefault="00000000">
      <w:pPr>
        <w:spacing w:after="0" w:line="276" w:lineRule="auto"/>
        <w:rPr>
          <w:i/>
          <w:iCs/>
          <w:sz w:val="22"/>
          <w:szCs w:val="22"/>
        </w:rPr>
      </w:pPr>
      <w:r>
        <w:rPr>
          <w:b/>
          <w:bCs/>
          <w:sz w:val="22"/>
          <w:szCs w:val="22"/>
        </w:rPr>
        <w:t>OMOP :</w:t>
      </w:r>
      <w:r>
        <w:rPr>
          <w:sz w:val="22"/>
          <w:szCs w:val="22"/>
        </w:rPr>
        <w:t xml:space="preserve"> Partenariat pour l’observation des résultats médicaux </w:t>
      </w:r>
      <w:r>
        <w:rPr>
          <w:i/>
          <w:iCs/>
          <w:sz w:val="22"/>
          <w:szCs w:val="22"/>
        </w:rPr>
        <w:t>: Un modèle de données commun que le RRDS Canada est en train de mettre en œuvre</w:t>
      </w:r>
    </w:p>
    <w:p w14:paraId="11540E17" w14:textId="77777777" w:rsidR="009D555A" w:rsidRDefault="00000000">
      <w:pPr>
        <w:spacing w:after="0" w:line="276" w:lineRule="auto"/>
        <w:rPr>
          <w:i/>
          <w:iCs/>
          <w:sz w:val="22"/>
          <w:szCs w:val="22"/>
        </w:rPr>
      </w:pPr>
      <w:r>
        <w:rPr>
          <w:b/>
          <w:bCs/>
          <w:sz w:val="22"/>
          <w:szCs w:val="22"/>
        </w:rPr>
        <w:t>CCP :</w:t>
      </w:r>
      <w:r>
        <w:rPr>
          <w:sz w:val="22"/>
          <w:szCs w:val="22"/>
        </w:rPr>
        <w:t xml:space="preserve"> Conseil consultatif public : </w:t>
      </w:r>
      <w:r>
        <w:rPr>
          <w:i/>
          <w:iCs/>
          <w:sz w:val="22"/>
          <w:szCs w:val="22"/>
        </w:rPr>
        <w:t>Un organisme consultatif soutenu par le RRDS Canada</w:t>
      </w:r>
    </w:p>
    <w:p w14:paraId="60AD3F93" w14:textId="77777777" w:rsidR="009D555A" w:rsidRDefault="00000000">
      <w:pPr>
        <w:spacing w:after="0" w:line="276" w:lineRule="auto"/>
        <w:rPr>
          <w:i/>
          <w:iCs/>
          <w:sz w:val="22"/>
          <w:szCs w:val="22"/>
        </w:rPr>
      </w:pPr>
      <w:r>
        <w:rPr>
          <w:b/>
          <w:bCs/>
          <w:sz w:val="22"/>
          <w:szCs w:val="22"/>
        </w:rPr>
        <w:t>PE :</w:t>
      </w:r>
      <w:r>
        <w:rPr>
          <w:sz w:val="22"/>
          <w:szCs w:val="22"/>
        </w:rPr>
        <w:t xml:space="preserve"> Activités de mobilisation du grand public : </w:t>
      </w:r>
      <w:r>
        <w:rPr>
          <w:i/>
          <w:iCs/>
          <w:sz w:val="22"/>
          <w:szCs w:val="22"/>
        </w:rPr>
        <w:t>Une équipe du RRDS Canada</w:t>
      </w:r>
    </w:p>
    <w:p w14:paraId="716CE595" w14:textId="77777777" w:rsidR="009D555A" w:rsidRDefault="00000000">
      <w:pPr>
        <w:spacing w:after="0" w:line="276" w:lineRule="auto"/>
        <w:rPr>
          <w:sz w:val="22"/>
          <w:szCs w:val="22"/>
        </w:rPr>
      </w:pPr>
      <w:r>
        <w:rPr>
          <w:b/>
          <w:bCs/>
          <w:sz w:val="22"/>
          <w:szCs w:val="22"/>
        </w:rPr>
        <w:t>ASPC :</w:t>
      </w:r>
      <w:r>
        <w:rPr>
          <w:sz w:val="22"/>
          <w:szCs w:val="22"/>
        </w:rPr>
        <w:t xml:space="preserve"> Agence de la santé publique du Canada</w:t>
      </w:r>
    </w:p>
    <w:p w14:paraId="79B076A4" w14:textId="77777777" w:rsidR="009D555A" w:rsidRDefault="00000000">
      <w:pPr>
        <w:spacing w:after="0" w:line="276" w:lineRule="auto"/>
        <w:rPr>
          <w:i/>
          <w:iCs/>
          <w:sz w:val="22"/>
          <w:szCs w:val="22"/>
        </w:rPr>
      </w:pPr>
      <w:r>
        <w:rPr>
          <w:b/>
          <w:bCs/>
          <w:sz w:val="22"/>
          <w:szCs w:val="22"/>
        </w:rPr>
        <w:t>PTTP :</w:t>
      </w:r>
      <w:r>
        <w:rPr>
          <w:sz w:val="22"/>
          <w:szCs w:val="22"/>
        </w:rPr>
        <w:t xml:space="preserve"> Programme d’essais cliniques pragmatiques : </w:t>
      </w:r>
      <w:r>
        <w:rPr>
          <w:i/>
          <w:iCs/>
          <w:sz w:val="22"/>
          <w:szCs w:val="22"/>
        </w:rPr>
        <w:t>Un programme organisé par le RRDS Canada</w:t>
      </w:r>
    </w:p>
    <w:p w14:paraId="01C478FA" w14:textId="77777777" w:rsidR="009D555A" w:rsidRDefault="00000000">
      <w:pPr>
        <w:spacing w:after="0" w:line="276" w:lineRule="auto"/>
        <w:rPr>
          <w:b/>
          <w:bCs/>
          <w:sz w:val="22"/>
          <w:szCs w:val="22"/>
        </w:rPr>
        <w:sectPr w:rsidR="009D555A">
          <w:footerReference w:type="even" r:id="rId8"/>
          <w:footerReference w:type="default" r:id="rId9"/>
          <w:footerReference w:type="first" r:id="rId10"/>
          <w:pgSz w:w="12240" w:h="15840"/>
          <w:pgMar w:top="1440" w:right="1080" w:bottom="1440" w:left="1080" w:header="0" w:footer="964" w:gutter="0"/>
          <w:pgNumType w:start="1"/>
          <w:cols w:space="720"/>
          <w:titlePg/>
        </w:sectPr>
      </w:pPr>
      <w:r>
        <w:rPr>
          <w:b/>
          <w:bCs/>
          <w:sz w:val="22"/>
          <w:szCs w:val="22"/>
        </w:rPr>
        <w:t>TRE :</w:t>
      </w:r>
      <w:r>
        <w:rPr>
          <w:sz w:val="22"/>
          <w:szCs w:val="22"/>
        </w:rPr>
        <w:t xml:space="preserve"> Environnement de recherche fiable : </w:t>
      </w:r>
      <w:r>
        <w:rPr>
          <w:i/>
          <w:iCs/>
          <w:sz w:val="22"/>
          <w:szCs w:val="22"/>
        </w:rPr>
        <w:t>Terminologie pour les espaces sécurisés où s’effectue l’analyse des données</w:t>
      </w:r>
    </w:p>
    <w:p w14:paraId="6961CAFC" w14:textId="77777777" w:rsidR="009D555A" w:rsidRDefault="00000000">
      <w:pPr>
        <w:pStyle w:val="Heading1"/>
        <w:spacing w:after="40"/>
      </w:pPr>
      <w:bookmarkStart w:id="0" w:name="_heading=h.vl3litk4hi3n" w:colFirst="0" w:colLast="0"/>
      <w:bookmarkEnd w:id="0"/>
      <w:r>
        <w:lastRenderedPageBreak/>
        <w:t>Section 1 : Tableau de bord des indicateurs de performance organisationnelle</w:t>
      </w:r>
    </w:p>
    <w:p w14:paraId="67B52048" w14:textId="77777777" w:rsidR="009D555A" w:rsidRDefault="00000000">
      <w:pPr>
        <w:spacing w:after="0" w:line="240" w:lineRule="auto"/>
        <w:jc w:val="center"/>
        <w:rPr>
          <w:sz w:val="22"/>
          <w:szCs w:val="22"/>
        </w:rPr>
      </w:pPr>
      <w:r>
        <w:rPr>
          <w:b/>
          <w:bCs/>
          <w:sz w:val="22"/>
          <w:szCs w:val="22"/>
        </w:rPr>
        <w:t xml:space="preserve">Remarque : </w:t>
      </w:r>
      <w:r>
        <w:rPr>
          <w:sz w:val="22"/>
          <w:szCs w:val="22"/>
        </w:rPr>
        <w:t>Les indicateurs sont mis à jour chaque trimestre. Les initiatives en cours ou nouvelles sont indiquées entre crochets.</w:t>
      </w:r>
    </w:p>
    <w:p w14:paraId="2AA448DE" w14:textId="77777777" w:rsidR="009D555A" w:rsidRDefault="00000000">
      <w:pPr>
        <w:spacing w:after="0" w:line="240" w:lineRule="auto"/>
        <w:jc w:val="center"/>
        <w:rPr>
          <w:sz w:val="22"/>
          <w:szCs w:val="22"/>
        </w:rPr>
      </w:pPr>
      <w:r>
        <w:rPr>
          <w:noProof/>
          <w:sz w:val="22"/>
          <w:szCs w:val="22"/>
        </w:rPr>
        <w:drawing>
          <wp:inline distT="114300" distB="114300" distL="114300" distR="114300" wp14:anchorId="3D33669F" wp14:editId="77F4A39F">
            <wp:extent cx="5536881" cy="7177088"/>
            <wp:effectExtent l="0" t="0" r="0" b="0"/>
            <wp:docPr id="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1"/>
                    <a:srcRect/>
                    <a:stretch>
                      <a:fillRect/>
                    </a:stretch>
                  </pic:blipFill>
                  <pic:spPr>
                    <a:xfrm>
                      <a:off x="0" y="0"/>
                      <a:ext cx="5536881" cy="7177088"/>
                    </a:xfrm>
                    <a:prstGeom prst="rect">
                      <a:avLst/>
                    </a:prstGeom>
                    <a:ln/>
                  </pic:spPr>
                </pic:pic>
              </a:graphicData>
            </a:graphic>
          </wp:inline>
        </w:drawing>
      </w:r>
    </w:p>
    <w:p w14:paraId="7B8C36E6" w14:textId="77777777" w:rsidR="009D555A" w:rsidRDefault="009D555A">
      <w:pPr>
        <w:spacing w:after="0" w:line="240" w:lineRule="auto"/>
        <w:jc w:val="center"/>
        <w:rPr>
          <w:sz w:val="22"/>
          <w:szCs w:val="22"/>
        </w:rPr>
      </w:pPr>
    </w:p>
    <w:p w14:paraId="4D2315FB" w14:textId="77777777" w:rsidR="009D555A" w:rsidRDefault="009D555A">
      <w:pPr>
        <w:spacing w:after="0" w:line="240" w:lineRule="auto"/>
        <w:rPr>
          <w:sz w:val="22"/>
          <w:szCs w:val="22"/>
        </w:rPr>
      </w:pPr>
    </w:p>
    <w:p w14:paraId="560F24E9" w14:textId="77777777" w:rsidR="009D555A" w:rsidRDefault="009D555A">
      <w:pPr>
        <w:spacing w:after="0" w:line="240" w:lineRule="auto"/>
        <w:rPr>
          <w:sz w:val="22"/>
          <w:szCs w:val="22"/>
        </w:rPr>
      </w:pPr>
    </w:p>
    <w:p w14:paraId="1E07D99C" w14:textId="77777777" w:rsidR="009D555A" w:rsidRDefault="00000000">
      <w:pPr>
        <w:spacing w:after="0" w:line="240" w:lineRule="auto"/>
        <w:rPr>
          <w:sz w:val="22"/>
          <w:szCs w:val="22"/>
        </w:rPr>
      </w:pPr>
      <w:r>
        <w:rPr>
          <w:sz w:val="22"/>
          <w:szCs w:val="22"/>
        </w:rPr>
        <w:t>Demandes d’admission au GSAD par exercice (2019-2025) (p. ex. les demandes d’accès aux données, les études de faisabilité, les lettres de soutien et toutes les autres demandes)</w:t>
      </w:r>
    </w:p>
    <w:p w14:paraId="2E33FCC8" w14:textId="77777777" w:rsidR="009D555A" w:rsidRDefault="009D555A">
      <w:pPr>
        <w:spacing w:after="0" w:line="240" w:lineRule="auto"/>
        <w:rPr>
          <w:sz w:val="22"/>
          <w:szCs w:val="22"/>
        </w:rPr>
      </w:pPr>
    </w:p>
    <w:p w14:paraId="1B754699" w14:textId="77777777" w:rsidR="009D555A" w:rsidRDefault="00000000">
      <w:pPr>
        <w:spacing w:after="0" w:line="240" w:lineRule="auto"/>
        <w:rPr>
          <w:sz w:val="22"/>
          <w:szCs w:val="22"/>
        </w:rPr>
      </w:pPr>
      <w:r>
        <w:rPr>
          <w:sz w:val="22"/>
          <w:szCs w:val="22"/>
        </w:rPr>
        <w:t xml:space="preserve">* Pour l’exercice 2020, notre première année complète d’exploitation, le nombre de demandes a été plus élevé en raison du refoulement des demandes relatives aux services du GSAD. </w:t>
      </w:r>
    </w:p>
    <w:p w14:paraId="7D22090F" w14:textId="77777777" w:rsidR="009D555A" w:rsidRDefault="009D555A">
      <w:pPr>
        <w:spacing w:after="0" w:line="240" w:lineRule="auto"/>
        <w:rPr>
          <w:sz w:val="22"/>
          <w:szCs w:val="22"/>
        </w:rPr>
      </w:pPr>
    </w:p>
    <w:p w14:paraId="1DC28E78" w14:textId="77777777" w:rsidR="009D555A" w:rsidRDefault="00000000">
      <w:pPr>
        <w:spacing w:after="0" w:line="240" w:lineRule="auto"/>
        <w:rPr>
          <w:sz w:val="22"/>
          <w:szCs w:val="22"/>
        </w:rPr>
      </w:pPr>
      <w:r>
        <w:rPr>
          <w:sz w:val="22"/>
          <w:szCs w:val="22"/>
        </w:rPr>
        <w:t>[En cours] Afin de soutenir la mise en œuvre du modèle de données commun de l’</w:t>
      </w:r>
      <w:proofErr w:type="spellStart"/>
      <w:r>
        <w:rPr>
          <w:sz w:val="22"/>
          <w:szCs w:val="22"/>
        </w:rPr>
        <w:t>Observational</w:t>
      </w:r>
      <w:proofErr w:type="spellEnd"/>
      <w:r>
        <w:rPr>
          <w:sz w:val="22"/>
          <w:szCs w:val="22"/>
        </w:rPr>
        <w:t xml:space="preserve"> </w:t>
      </w:r>
      <w:proofErr w:type="spellStart"/>
      <w:r>
        <w:rPr>
          <w:sz w:val="22"/>
          <w:szCs w:val="22"/>
        </w:rPr>
        <w:t>Medical</w:t>
      </w:r>
      <w:proofErr w:type="spellEnd"/>
      <w:r>
        <w:rPr>
          <w:sz w:val="22"/>
          <w:szCs w:val="22"/>
        </w:rPr>
        <w:t xml:space="preserve"> </w:t>
      </w:r>
      <w:proofErr w:type="spellStart"/>
      <w:r>
        <w:rPr>
          <w:sz w:val="22"/>
          <w:szCs w:val="22"/>
        </w:rPr>
        <w:t>Outcomes</w:t>
      </w:r>
      <w:proofErr w:type="spellEnd"/>
      <w:r>
        <w:rPr>
          <w:sz w:val="22"/>
          <w:szCs w:val="22"/>
        </w:rPr>
        <w:t xml:space="preserve"> Partnership (OMOP) dans les centres de données du RRDS Canada, 5 200 codes de la CIM-10-CA et 2 700 codes de la CIM-9 ont été mis en correspondance avec la terminologie SNOMED (nomenclature systématique de la médecine) ou les concepts d’extension de l’OMOP, 4 200 mises en correspondance avec la CIM-9-CM ont été examinées ou révisées, et 635 numéros d’identification de médicament (DIN) ont été mis en correspondance avec les données du système </w:t>
      </w:r>
      <w:proofErr w:type="spellStart"/>
      <w:r>
        <w:rPr>
          <w:sz w:val="22"/>
          <w:szCs w:val="22"/>
        </w:rPr>
        <w:t>RxNorm</w:t>
      </w:r>
      <w:proofErr w:type="spellEnd"/>
      <w:r>
        <w:rPr>
          <w:sz w:val="22"/>
          <w:szCs w:val="22"/>
        </w:rPr>
        <w:t xml:space="preserve"> </w:t>
      </w:r>
    </w:p>
    <w:p w14:paraId="4BE05B8C" w14:textId="77777777" w:rsidR="009D555A" w:rsidRDefault="009D555A">
      <w:pPr>
        <w:spacing w:after="0" w:line="240" w:lineRule="auto"/>
        <w:rPr>
          <w:sz w:val="22"/>
          <w:szCs w:val="22"/>
        </w:rPr>
      </w:pPr>
    </w:p>
    <w:p w14:paraId="7924EE69" w14:textId="77777777" w:rsidR="009D555A" w:rsidRDefault="00000000">
      <w:pPr>
        <w:spacing w:after="0" w:line="240" w:lineRule="auto"/>
        <w:rPr>
          <w:sz w:val="22"/>
          <w:szCs w:val="22"/>
        </w:rPr>
      </w:pPr>
      <w:r>
        <w:rPr>
          <w:sz w:val="22"/>
          <w:szCs w:val="22"/>
        </w:rPr>
        <w:t xml:space="preserve">Quatre nouveaux membres de l’Alliance pour la recherche sur les données de santé : ARCHIMEDES, </w:t>
      </w:r>
      <w:proofErr w:type="spellStart"/>
      <w:r>
        <w:rPr>
          <w:sz w:val="22"/>
          <w:szCs w:val="22"/>
        </w:rPr>
        <w:t>CanSPARK</w:t>
      </w:r>
      <w:proofErr w:type="spellEnd"/>
      <w:r>
        <w:rPr>
          <w:sz w:val="22"/>
          <w:szCs w:val="22"/>
        </w:rPr>
        <w:t>, CoRE et CNDR</w:t>
      </w:r>
    </w:p>
    <w:p w14:paraId="18DB2935" w14:textId="77777777" w:rsidR="009D555A" w:rsidRDefault="009D555A">
      <w:pPr>
        <w:spacing w:after="0" w:line="240" w:lineRule="auto"/>
        <w:rPr>
          <w:sz w:val="22"/>
          <w:szCs w:val="22"/>
        </w:rPr>
      </w:pPr>
    </w:p>
    <w:p w14:paraId="2AC8A1DC" w14:textId="77777777" w:rsidR="009D555A" w:rsidRDefault="00000000">
      <w:pPr>
        <w:spacing w:after="0" w:line="240" w:lineRule="auto"/>
        <w:rPr>
          <w:sz w:val="22"/>
          <w:szCs w:val="22"/>
        </w:rPr>
      </w:pPr>
      <w:r>
        <w:rPr>
          <w:sz w:val="22"/>
          <w:szCs w:val="22"/>
        </w:rPr>
        <w:t xml:space="preserve">[En cours] Collaborations récentes avec des organismes autochtones, dont : </w:t>
      </w:r>
    </w:p>
    <w:p w14:paraId="6DF632F6" w14:textId="77777777" w:rsidR="009D555A" w:rsidRDefault="00000000">
      <w:pPr>
        <w:numPr>
          <w:ilvl w:val="0"/>
          <w:numId w:val="10"/>
        </w:numPr>
        <w:spacing w:after="0" w:line="240" w:lineRule="auto"/>
        <w:rPr>
          <w:sz w:val="22"/>
          <w:szCs w:val="22"/>
        </w:rPr>
      </w:pPr>
      <w:proofErr w:type="spellStart"/>
      <w:r>
        <w:rPr>
          <w:sz w:val="22"/>
          <w:szCs w:val="22"/>
        </w:rPr>
        <w:t>Ongomiizwin</w:t>
      </w:r>
      <w:proofErr w:type="spellEnd"/>
      <w:r>
        <w:rPr>
          <w:sz w:val="22"/>
          <w:szCs w:val="22"/>
        </w:rPr>
        <w:t xml:space="preserve"> </w:t>
      </w:r>
      <w:proofErr w:type="spellStart"/>
      <w:r>
        <w:rPr>
          <w:sz w:val="22"/>
          <w:szCs w:val="22"/>
        </w:rPr>
        <w:t>Indigenous</w:t>
      </w:r>
      <w:proofErr w:type="spellEnd"/>
      <w:r>
        <w:rPr>
          <w:sz w:val="22"/>
          <w:szCs w:val="22"/>
        </w:rPr>
        <w:t xml:space="preserve"> Institute of Health and Healing (Université du Manitoba)</w:t>
      </w:r>
    </w:p>
    <w:p w14:paraId="190DF07F" w14:textId="77777777" w:rsidR="009D555A" w:rsidRDefault="00000000">
      <w:pPr>
        <w:numPr>
          <w:ilvl w:val="0"/>
          <w:numId w:val="10"/>
        </w:numPr>
        <w:spacing w:after="0" w:line="240" w:lineRule="auto"/>
        <w:rPr>
          <w:sz w:val="22"/>
          <w:szCs w:val="22"/>
        </w:rPr>
      </w:pPr>
      <w:r>
        <w:rPr>
          <w:sz w:val="22"/>
          <w:szCs w:val="22"/>
        </w:rPr>
        <w:t>Centre de collaboration nationale de la santé autochtone</w:t>
      </w:r>
    </w:p>
    <w:p w14:paraId="46CFE59E" w14:textId="77777777" w:rsidR="009D555A" w:rsidRDefault="00000000">
      <w:pPr>
        <w:numPr>
          <w:ilvl w:val="0"/>
          <w:numId w:val="10"/>
        </w:numPr>
        <w:spacing w:after="0" w:line="240" w:lineRule="auto"/>
        <w:rPr>
          <w:sz w:val="22"/>
          <w:szCs w:val="22"/>
        </w:rPr>
      </w:pPr>
      <w:r>
        <w:rPr>
          <w:sz w:val="22"/>
          <w:szCs w:val="22"/>
        </w:rPr>
        <w:t>Institut de la santé des Autochtones des IRSC</w:t>
      </w:r>
    </w:p>
    <w:p w14:paraId="30A8C20E" w14:textId="77777777" w:rsidR="009D555A" w:rsidRDefault="00000000">
      <w:pPr>
        <w:numPr>
          <w:ilvl w:val="0"/>
          <w:numId w:val="10"/>
        </w:numPr>
        <w:spacing w:after="0" w:line="240" w:lineRule="auto"/>
        <w:rPr>
          <w:sz w:val="22"/>
          <w:szCs w:val="22"/>
        </w:rPr>
      </w:pPr>
      <w:r>
        <w:rPr>
          <w:sz w:val="22"/>
          <w:szCs w:val="22"/>
        </w:rPr>
        <w:t>Heritage </w:t>
      </w:r>
      <w:proofErr w:type="spellStart"/>
      <w:r>
        <w:rPr>
          <w:sz w:val="22"/>
          <w:szCs w:val="22"/>
        </w:rPr>
        <w:t>Lab</w:t>
      </w:r>
      <w:proofErr w:type="spellEnd"/>
    </w:p>
    <w:p w14:paraId="55295CE4" w14:textId="77777777" w:rsidR="009D555A" w:rsidRDefault="00000000">
      <w:pPr>
        <w:numPr>
          <w:ilvl w:val="0"/>
          <w:numId w:val="10"/>
        </w:numPr>
        <w:spacing w:after="0" w:line="240" w:lineRule="auto"/>
        <w:rPr>
          <w:sz w:val="22"/>
          <w:szCs w:val="22"/>
        </w:rPr>
      </w:pPr>
      <w:r>
        <w:rPr>
          <w:sz w:val="22"/>
          <w:szCs w:val="22"/>
        </w:rPr>
        <w:t xml:space="preserve">First Nations Health and Social </w:t>
      </w:r>
      <w:proofErr w:type="spellStart"/>
      <w:r>
        <w:rPr>
          <w:sz w:val="22"/>
          <w:szCs w:val="22"/>
        </w:rPr>
        <w:t>Secretariat</w:t>
      </w:r>
      <w:proofErr w:type="spellEnd"/>
      <w:r>
        <w:rPr>
          <w:sz w:val="22"/>
          <w:szCs w:val="22"/>
        </w:rPr>
        <w:t xml:space="preserve"> of Manitoba</w:t>
      </w:r>
    </w:p>
    <w:p w14:paraId="2EDD6D72" w14:textId="77777777" w:rsidR="009D555A" w:rsidRDefault="00000000">
      <w:pPr>
        <w:numPr>
          <w:ilvl w:val="0"/>
          <w:numId w:val="10"/>
        </w:numPr>
        <w:spacing w:after="0" w:line="240" w:lineRule="auto"/>
        <w:rPr>
          <w:sz w:val="22"/>
          <w:szCs w:val="22"/>
        </w:rPr>
      </w:pPr>
      <w:r>
        <w:rPr>
          <w:sz w:val="22"/>
          <w:szCs w:val="22"/>
        </w:rPr>
        <w:t xml:space="preserve">Inuit </w:t>
      </w:r>
      <w:proofErr w:type="spellStart"/>
      <w:r>
        <w:rPr>
          <w:sz w:val="22"/>
          <w:szCs w:val="22"/>
        </w:rPr>
        <w:t>Tapiriit</w:t>
      </w:r>
      <w:proofErr w:type="spellEnd"/>
      <w:r>
        <w:rPr>
          <w:sz w:val="22"/>
          <w:szCs w:val="22"/>
        </w:rPr>
        <w:t xml:space="preserve"> </w:t>
      </w:r>
      <w:proofErr w:type="spellStart"/>
      <w:r>
        <w:rPr>
          <w:sz w:val="22"/>
          <w:szCs w:val="22"/>
        </w:rPr>
        <w:t>Kanatami</w:t>
      </w:r>
      <w:proofErr w:type="spellEnd"/>
    </w:p>
    <w:p w14:paraId="7FBC875A" w14:textId="77777777" w:rsidR="009D555A" w:rsidRDefault="00000000">
      <w:pPr>
        <w:numPr>
          <w:ilvl w:val="0"/>
          <w:numId w:val="10"/>
        </w:numPr>
        <w:spacing w:after="0" w:line="240" w:lineRule="auto"/>
        <w:rPr>
          <w:sz w:val="22"/>
          <w:szCs w:val="22"/>
        </w:rPr>
      </w:pPr>
      <w:r>
        <w:rPr>
          <w:sz w:val="22"/>
          <w:szCs w:val="22"/>
        </w:rPr>
        <w:t xml:space="preserve">Manitoba </w:t>
      </w:r>
      <w:proofErr w:type="spellStart"/>
      <w:r>
        <w:rPr>
          <w:sz w:val="22"/>
          <w:szCs w:val="22"/>
        </w:rPr>
        <w:t>Metis</w:t>
      </w:r>
      <w:proofErr w:type="spellEnd"/>
      <w:r>
        <w:rPr>
          <w:sz w:val="22"/>
          <w:szCs w:val="22"/>
        </w:rPr>
        <w:t xml:space="preserve"> </w:t>
      </w:r>
      <w:proofErr w:type="spellStart"/>
      <w:r>
        <w:rPr>
          <w:sz w:val="22"/>
          <w:szCs w:val="22"/>
        </w:rPr>
        <w:t>Federation</w:t>
      </w:r>
      <w:proofErr w:type="spellEnd"/>
    </w:p>
    <w:p w14:paraId="7EA178D5" w14:textId="77777777" w:rsidR="009D555A" w:rsidRDefault="009D555A">
      <w:pPr>
        <w:spacing w:after="0" w:line="240" w:lineRule="auto"/>
        <w:rPr>
          <w:sz w:val="22"/>
          <w:szCs w:val="22"/>
        </w:rPr>
      </w:pPr>
    </w:p>
    <w:p w14:paraId="13A58E60" w14:textId="77777777" w:rsidR="009D555A" w:rsidRDefault="00000000">
      <w:pPr>
        <w:spacing w:after="0" w:line="240" w:lineRule="auto"/>
        <w:rPr>
          <w:sz w:val="22"/>
          <w:szCs w:val="22"/>
        </w:rPr>
      </w:pPr>
      <w:r>
        <w:rPr>
          <w:sz w:val="22"/>
          <w:szCs w:val="22"/>
        </w:rPr>
        <w:t>Le 1</w:t>
      </w:r>
      <w:r>
        <w:rPr>
          <w:sz w:val="22"/>
          <w:szCs w:val="22"/>
          <w:vertAlign w:val="superscript"/>
        </w:rPr>
        <w:t>er</w:t>
      </w:r>
      <w:r>
        <w:rPr>
          <w:sz w:val="22"/>
          <w:szCs w:val="22"/>
        </w:rPr>
        <w:t> avril 2026, le conseil consultatif public a lancé un appel à candidatures pour recruter de nouveaux membres; 125 candidatures ont été reçues [nouveau]</w:t>
      </w:r>
    </w:p>
    <w:p w14:paraId="5153AA41" w14:textId="77777777" w:rsidR="009D555A" w:rsidRDefault="009D555A">
      <w:pPr>
        <w:spacing w:after="0" w:line="240" w:lineRule="auto"/>
        <w:rPr>
          <w:sz w:val="22"/>
          <w:szCs w:val="22"/>
        </w:rPr>
      </w:pPr>
    </w:p>
    <w:p w14:paraId="11B74DFE" w14:textId="77777777" w:rsidR="009D555A" w:rsidRDefault="00000000">
      <w:pPr>
        <w:spacing w:after="0" w:line="240" w:lineRule="auto"/>
        <w:rPr>
          <w:sz w:val="22"/>
          <w:szCs w:val="22"/>
        </w:rPr>
      </w:pPr>
      <w:r>
        <w:rPr>
          <w:sz w:val="22"/>
          <w:szCs w:val="22"/>
        </w:rPr>
        <w:t>Webinaires pour le grand public</w:t>
      </w:r>
    </w:p>
    <w:p w14:paraId="4037BC9A" w14:textId="77777777" w:rsidR="009D555A" w:rsidRDefault="00000000">
      <w:pPr>
        <w:spacing w:after="0" w:line="240" w:lineRule="auto"/>
        <w:rPr>
          <w:sz w:val="22"/>
          <w:szCs w:val="22"/>
        </w:rPr>
      </w:pPr>
      <w:r>
        <w:rPr>
          <w:sz w:val="22"/>
          <w:szCs w:val="22"/>
        </w:rPr>
        <w:t xml:space="preserve">Social </w:t>
      </w:r>
      <w:proofErr w:type="spellStart"/>
      <w:r>
        <w:rPr>
          <w:sz w:val="22"/>
          <w:szCs w:val="22"/>
        </w:rPr>
        <w:t>Context</w:t>
      </w:r>
      <w:proofErr w:type="spellEnd"/>
      <w:r>
        <w:rPr>
          <w:sz w:val="22"/>
          <w:szCs w:val="22"/>
        </w:rPr>
        <w:t xml:space="preserve"> of Administrative Data About Substance Use </w:t>
      </w:r>
      <w:proofErr w:type="spellStart"/>
      <w:r>
        <w:rPr>
          <w:sz w:val="22"/>
          <w:szCs w:val="22"/>
        </w:rPr>
        <w:t>Disorder</w:t>
      </w:r>
      <w:proofErr w:type="spellEnd"/>
    </w:p>
    <w:p w14:paraId="354B23AE" w14:textId="77777777" w:rsidR="009D555A" w:rsidRDefault="00000000">
      <w:pPr>
        <w:spacing w:after="0" w:line="240" w:lineRule="auto"/>
        <w:rPr>
          <w:sz w:val="22"/>
          <w:szCs w:val="22"/>
        </w:rPr>
      </w:pPr>
      <w:r>
        <w:rPr>
          <w:sz w:val="22"/>
          <w:szCs w:val="22"/>
        </w:rPr>
        <w:t>Naviguer dans les données avec le RCCDR et le GSAD</w:t>
      </w:r>
    </w:p>
    <w:p w14:paraId="1EA4ABD8" w14:textId="77777777" w:rsidR="009D555A" w:rsidRDefault="009D555A">
      <w:pPr>
        <w:spacing w:after="0" w:line="240" w:lineRule="auto"/>
        <w:rPr>
          <w:sz w:val="22"/>
          <w:szCs w:val="22"/>
        </w:rPr>
      </w:pPr>
    </w:p>
    <w:p w14:paraId="2E614AF2" w14:textId="77777777" w:rsidR="009D555A" w:rsidRDefault="00000000">
      <w:pPr>
        <w:spacing w:after="0" w:line="240" w:lineRule="auto"/>
        <w:rPr>
          <w:sz w:val="22"/>
          <w:szCs w:val="22"/>
        </w:rPr>
      </w:pPr>
      <w:r>
        <w:rPr>
          <w:sz w:val="22"/>
          <w:szCs w:val="22"/>
        </w:rPr>
        <w:t>Forum Des données sur la santé pour toutes et tous : notre parcours en matière de données de santé</w:t>
      </w:r>
    </w:p>
    <w:p w14:paraId="6584F8B5" w14:textId="77777777" w:rsidR="009D555A" w:rsidRDefault="00000000">
      <w:pPr>
        <w:spacing w:after="0" w:line="240" w:lineRule="auto"/>
        <w:rPr>
          <w:sz w:val="22"/>
          <w:szCs w:val="22"/>
        </w:rPr>
      </w:pPr>
      <w:r>
        <w:rPr>
          <w:sz w:val="22"/>
          <w:szCs w:val="22"/>
        </w:rPr>
        <w:t>123 participants sur place et 972 inscriptions en ligne</w:t>
      </w:r>
    </w:p>
    <w:p w14:paraId="39462CF1" w14:textId="77777777" w:rsidR="009D555A" w:rsidRDefault="00000000">
      <w:pPr>
        <w:spacing w:after="0" w:line="240" w:lineRule="auto"/>
        <w:rPr>
          <w:sz w:val="22"/>
          <w:szCs w:val="22"/>
        </w:rPr>
      </w:pPr>
      <w:r>
        <w:rPr>
          <w:sz w:val="22"/>
          <w:szCs w:val="22"/>
        </w:rPr>
        <w:t xml:space="preserve">Le forum public annuel a réuni des conférenciers variés et a permis d’aborder des points de vue divers. Notamment, une table ronde spécialisée avec des représentants des Premières Nations, des Inuits et des Métis a été organisée, et le dirigeant principal de la protection des renseignements personnels de Statistique Canada a donné une présentation. </w:t>
      </w:r>
    </w:p>
    <w:p w14:paraId="5436F6B0" w14:textId="77777777" w:rsidR="009D555A" w:rsidRDefault="009D555A">
      <w:pPr>
        <w:spacing w:after="0" w:line="240" w:lineRule="auto"/>
        <w:rPr>
          <w:sz w:val="22"/>
          <w:szCs w:val="22"/>
        </w:rPr>
      </w:pPr>
    </w:p>
    <w:p w14:paraId="5BA28F4F" w14:textId="77777777" w:rsidR="009D555A" w:rsidRDefault="009D555A">
      <w:pPr>
        <w:spacing w:after="0" w:line="240" w:lineRule="auto"/>
        <w:rPr>
          <w:sz w:val="22"/>
          <w:szCs w:val="22"/>
        </w:rPr>
      </w:pPr>
    </w:p>
    <w:p w14:paraId="0660AD95" w14:textId="77777777" w:rsidR="009D555A" w:rsidRDefault="009D555A">
      <w:pPr>
        <w:spacing w:after="0" w:line="240" w:lineRule="auto"/>
        <w:rPr>
          <w:sz w:val="22"/>
          <w:szCs w:val="22"/>
        </w:rPr>
        <w:sectPr w:rsidR="009D555A">
          <w:footerReference w:type="default" r:id="rId12"/>
          <w:pgSz w:w="12240" w:h="15840"/>
          <w:pgMar w:top="1440" w:right="1080" w:bottom="1440" w:left="1080" w:header="0" w:footer="0" w:gutter="0"/>
          <w:pgNumType w:start="3"/>
          <w:cols w:space="720"/>
        </w:sectPr>
      </w:pPr>
    </w:p>
    <w:p w14:paraId="45EFE57A" w14:textId="77777777" w:rsidR="009D555A" w:rsidRDefault="00000000">
      <w:pPr>
        <w:pStyle w:val="Heading1"/>
      </w:pPr>
      <w:bookmarkStart w:id="1" w:name="_heading=h.gdan1ri3c3w8" w:colFirst="0" w:colLast="0"/>
      <w:bookmarkEnd w:id="1"/>
      <w:r>
        <w:lastRenderedPageBreak/>
        <w:t>Section 2 : Principales réalisations concernant les engagements stratégiques</w:t>
      </w:r>
    </w:p>
    <w:p w14:paraId="1F434394" w14:textId="77777777" w:rsidR="009D555A" w:rsidRDefault="00000000">
      <w:pPr>
        <w:pStyle w:val="Heading2"/>
        <w:spacing w:before="200"/>
      </w:pPr>
      <w:bookmarkStart w:id="2" w:name="_heading=h.bhrcw9ghntzg" w:colFirst="0" w:colLast="0"/>
      <w:bookmarkEnd w:id="2"/>
      <w:r>
        <w:t>Objectif 1 : Développer et améliorer les services et le soutien à l’accès aux données</w:t>
      </w:r>
    </w:p>
    <w:p w14:paraId="72843877" w14:textId="77777777" w:rsidR="009D555A" w:rsidRDefault="00000000">
      <w:pPr>
        <w:pStyle w:val="Heading3"/>
        <w:spacing w:before="200" w:after="200"/>
      </w:pPr>
      <w:bookmarkStart w:id="3" w:name="_heading=h.hsfxvplv3ahi" w:colFirst="0" w:colLast="0"/>
      <w:bookmarkEnd w:id="3"/>
      <w:r>
        <w:t>Équipe des services intégrés</w:t>
      </w:r>
    </w:p>
    <w:p w14:paraId="557713CE" w14:textId="77777777" w:rsidR="009D555A" w:rsidRDefault="00000000">
      <w:pPr>
        <w:numPr>
          <w:ilvl w:val="0"/>
          <w:numId w:val="16"/>
        </w:numPr>
        <w:spacing w:after="0"/>
        <w:ind w:left="360"/>
        <w:rPr>
          <w:color w:val="000000"/>
        </w:rPr>
      </w:pPr>
      <w:r>
        <w:t xml:space="preserve">L’équipe élabore actuellement un nouveau plan de conception visant à intégrer les services du GSAD et de CAN-ASK. Voici quelques-unes des nouvelles fonctionnalités : </w:t>
      </w:r>
    </w:p>
    <w:p w14:paraId="543FB94D" w14:textId="77777777" w:rsidR="009D555A" w:rsidRDefault="00000000">
      <w:pPr>
        <w:numPr>
          <w:ilvl w:val="1"/>
          <w:numId w:val="16"/>
        </w:numPr>
        <w:spacing w:after="0"/>
        <w:rPr>
          <w:color w:val="000000"/>
        </w:rPr>
      </w:pPr>
      <w:r>
        <w:rPr>
          <w:b/>
          <w:bCs/>
        </w:rPr>
        <w:t>Renforcement de la promotion et de la gestion de la relation client :</w:t>
      </w:r>
      <w:r>
        <w:t xml:space="preserve"> Point d’accès unique, élargissement des canaux promotionnels et mobilisation plus active des clients</w:t>
      </w:r>
    </w:p>
    <w:p w14:paraId="2BB4954B" w14:textId="77777777" w:rsidR="009D555A" w:rsidRDefault="00000000">
      <w:pPr>
        <w:numPr>
          <w:ilvl w:val="1"/>
          <w:numId w:val="16"/>
        </w:numPr>
        <w:spacing w:after="0"/>
        <w:rPr>
          <w:b/>
          <w:bCs/>
          <w:color w:val="000000"/>
        </w:rPr>
      </w:pPr>
      <w:r>
        <w:rPr>
          <w:b/>
          <w:bCs/>
        </w:rPr>
        <w:t xml:space="preserve">Modèle de service amélioré, intégré à l’ensemble du réseau : </w:t>
      </w:r>
      <w:r>
        <w:t>Équipe du réseau intégré, gestion de projets multirégionaux et non d’une série de projets locaux, cycle de vie complet des services</w:t>
      </w:r>
    </w:p>
    <w:p w14:paraId="49D01B50" w14:textId="77777777" w:rsidR="009D555A" w:rsidRDefault="00000000">
      <w:pPr>
        <w:numPr>
          <w:ilvl w:val="1"/>
          <w:numId w:val="16"/>
        </w:numPr>
        <w:spacing w:after="0"/>
        <w:rPr>
          <w:b/>
          <w:bCs/>
          <w:color w:val="000000"/>
        </w:rPr>
      </w:pPr>
      <w:r>
        <w:rPr>
          <w:b/>
          <w:bCs/>
        </w:rPr>
        <w:t xml:space="preserve">Ensembles de services structurés, mais personnalisables : </w:t>
      </w:r>
      <w:r>
        <w:t>Ensemble de base avec modules supplémentaires adaptés aux besoins des clients et des projets</w:t>
      </w:r>
    </w:p>
    <w:p w14:paraId="4FB4A753" w14:textId="77777777" w:rsidR="009D555A" w:rsidRDefault="00000000">
      <w:pPr>
        <w:numPr>
          <w:ilvl w:val="1"/>
          <w:numId w:val="16"/>
        </w:numPr>
        <w:spacing w:after="0"/>
        <w:rPr>
          <w:b/>
          <w:bCs/>
          <w:color w:val="000000"/>
        </w:rPr>
      </w:pPr>
      <w:r>
        <w:rPr>
          <w:b/>
          <w:bCs/>
        </w:rPr>
        <w:t xml:space="preserve">Planification et gestion proactives des projets : </w:t>
      </w:r>
      <w:r>
        <w:t>Planification structurée plus hâtive des projets, gestion renforcée des cas, soutien scientifique, suivi proactif et recours hiérarchiques</w:t>
      </w:r>
    </w:p>
    <w:p w14:paraId="6083FE22" w14:textId="77777777" w:rsidR="009D555A" w:rsidRDefault="00000000">
      <w:pPr>
        <w:numPr>
          <w:ilvl w:val="0"/>
          <w:numId w:val="16"/>
        </w:numPr>
        <w:spacing w:after="0"/>
        <w:ind w:left="360"/>
        <w:rPr>
          <w:color w:val="000000"/>
        </w:rPr>
      </w:pPr>
      <w:r>
        <w:t>Des indicateurs de référence sont en cours d’élaboration pour les services intégrés. Il s’agit d’un petit nombre d’indicateurs qui nous permettront de déterminer si nous réalisons des progrès concrets dans trois domaines d’intérêt, pour nous et les IRSC : accroître l’incidence et l’utilisation, améliorer l’expérience client et démontrer l’incidence.</w:t>
      </w:r>
    </w:p>
    <w:p w14:paraId="42B9362B" w14:textId="77777777" w:rsidR="009D555A" w:rsidRDefault="00000000">
      <w:pPr>
        <w:numPr>
          <w:ilvl w:val="0"/>
          <w:numId w:val="16"/>
        </w:numPr>
        <w:spacing w:after="0"/>
        <w:ind w:left="360"/>
        <w:rPr>
          <w:color w:val="000000"/>
        </w:rPr>
      </w:pPr>
      <w:r>
        <w:t>Des consultations sont en cours auprès des membres du réseau afin de recueillir de l’information détaillée sur leurs processus d’accès aux données et les exigences connexes. Les consultations avec l’Alberta, le Manitoba, la Saskatchewan, l’Ontario, le Nouveau-Brunswick, Terre-Neuve-et-Labrador et la Nouvelle-Écosse sont terminées.</w:t>
      </w:r>
    </w:p>
    <w:p w14:paraId="565FE4F7" w14:textId="77777777" w:rsidR="009D555A" w:rsidRDefault="00000000">
      <w:pPr>
        <w:numPr>
          <w:ilvl w:val="0"/>
          <w:numId w:val="16"/>
        </w:numPr>
        <w:spacing w:after="0"/>
        <w:ind w:left="360"/>
        <w:rPr>
          <w:color w:val="000000"/>
        </w:rPr>
      </w:pPr>
      <w:r>
        <w:t>Des documents d’information, un protocole et d’autres ressources visant à faciliter la mise en œuvre de l’analyse distribuée à l’échelle du réseau sont en cours d’élaboration.</w:t>
      </w:r>
    </w:p>
    <w:p w14:paraId="37DFAD4D" w14:textId="77777777" w:rsidR="009D555A" w:rsidRDefault="00000000">
      <w:pPr>
        <w:numPr>
          <w:ilvl w:val="0"/>
          <w:numId w:val="16"/>
        </w:numPr>
        <w:spacing w:after="0"/>
        <w:ind w:left="360"/>
        <w:rPr>
          <w:color w:val="000000"/>
        </w:rPr>
      </w:pPr>
      <w:r>
        <w:lastRenderedPageBreak/>
        <w:t>La modernisation du portail utilisateur se poursuit, avec notamment la mise en place de nouveaux tableaux de bord destinés à améliorer l’expérience utilisateur. Le lancement aura lieu très bientôt!</w:t>
      </w:r>
    </w:p>
    <w:p w14:paraId="1B082716" w14:textId="77777777" w:rsidR="009D555A" w:rsidRDefault="00000000">
      <w:pPr>
        <w:numPr>
          <w:ilvl w:val="0"/>
          <w:numId w:val="16"/>
        </w:numPr>
        <w:spacing w:after="0"/>
        <w:ind w:left="360"/>
        <w:rPr>
          <w:color w:val="000000"/>
        </w:rPr>
      </w:pPr>
      <w:r>
        <w:t>Parmi les initiatives de promotion supplémentaires mises en place :</w:t>
      </w:r>
    </w:p>
    <w:p w14:paraId="22D02EBE" w14:textId="77777777" w:rsidR="009D555A" w:rsidRDefault="00000000">
      <w:pPr>
        <w:numPr>
          <w:ilvl w:val="1"/>
          <w:numId w:val="16"/>
        </w:numPr>
        <w:spacing w:after="0"/>
        <w:rPr>
          <w:color w:val="000000"/>
        </w:rPr>
      </w:pPr>
      <w:r>
        <w:t>La liste des projets réalisés à l’aide du GSAD (y compris les publications qui en ont découlé) peut désormais être consultée sur le site Web du RRDS Canada (</w:t>
      </w:r>
      <w:hyperlink r:id="rId13">
        <w:r>
          <w:rPr>
            <w:color w:val="1155CC"/>
            <w:u w:val="single"/>
          </w:rPr>
          <w:t>Projets | RRDS Canada</w:t>
        </w:r>
      </w:hyperlink>
      <w:r>
        <w:t>). L’objectif est d’y ajouter prochainement les projets CAN-ASK.</w:t>
      </w:r>
    </w:p>
    <w:p w14:paraId="279DE7E5" w14:textId="77777777" w:rsidR="009D555A" w:rsidRDefault="00000000">
      <w:pPr>
        <w:numPr>
          <w:ilvl w:val="1"/>
          <w:numId w:val="16"/>
        </w:numPr>
        <w:spacing w:after="0"/>
        <w:rPr>
          <w:color w:val="000000"/>
        </w:rPr>
      </w:pPr>
      <w:r>
        <w:t xml:space="preserve">Les organismes membres ont été invités à faire la promotion du RRDS Canada et du GSAD sur leurs sites Web. La plupart l’ont fait; cela reste à faire pour quelques organismes seulement. </w:t>
      </w:r>
    </w:p>
    <w:p w14:paraId="6FD610DC" w14:textId="77777777" w:rsidR="009D555A" w:rsidRDefault="00000000">
      <w:pPr>
        <w:numPr>
          <w:ilvl w:val="1"/>
          <w:numId w:val="16"/>
        </w:numPr>
        <w:spacing w:after="0"/>
        <w:rPr>
          <w:color w:val="000000"/>
        </w:rPr>
      </w:pPr>
      <w:r>
        <w:t xml:space="preserve">La création d’un comité de chercheurs est en cours; ce comité sera chargé d’améliorer la conception des services du RRDS Canada et de fournir des commentaires sur toutes nos initiatives. Un groupe de travail responsable de la création et de la planification du comité a rédigé un mandat ainsi qu’un cadre général définissant la composition du comité. </w:t>
      </w:r>
    </w:p>
    <w:p w14:paraId="0251AB81" w14:textId="77777777" w:rsidR="009D555A" w:rsidRDefault="00000000">
      <w:pPr>
        <w:pStyle w:val="Heading3"/>
        <w:spacing w:before="200" w:after="200"/>
      </w:pPr>
      <w:bookmarkStart w:id="4" w:name="_heading=h.7lxqwf7tk0vl" w:colFirst="0" w:colLast="0"/>
      <w:bookmarkEnd w:id="4"/>
      <w:r>
        <w:t>Gestion des projets du GSAD</w:t>
      </w:r>
    </w:p>
    <w:p w14:paraId="122D36C7" w14:textId="77777777" w:rsidR="009D555A" w:rsidRDefault="00000000">
      <w:pPr>
        <w:numPr>
          <w:ilvl w:val="0"/>
          <w:numId w:val="5"/>
        </w:numPr>
        <w:spacing w:after="0"/>
        <w:ind w:left="360" w:right="-90"/>
        <w:rPr>
          <w:color w:val="000000"/>
        </w:rPr>
      </w:pPr>
      <w:r>
        <w:t>À ce jour, 15 projets ont été achevés et 3 autres sont en voie de l’être (nous attendons simplement que l’équipe de recherche les retire de notre file d’attente). À l’heure actuelle, le GSAD compte 28 projets en cours, dont 15 ont atteint ou dépassé l’étape de la demande d’accès aux données.</w:t>
      </w:r>
    </w:p>
    <w:p w14:paraId="6B9B2BA3" w14:textId="77777777" w:rsidR="009D555A" w:rsidRDefault="00000000">
      <w:pPr>
        <w:numPr>
          <w:ilvl w:val="0"/>
          <w:numId w:val="5"/>
        </w:numPr>
        <w:spacing w:after="200"/>
        <w:ind w:left="360" w:right="-90"/>
        <w:rPr>
          <w:color w:val="000000"/>
        </w:rPr>
      </w:pPr>
      <w:r>
        <w:t xml:space="preserve">Un projet en est en voie de terminer une analyse distribuée. Neuf autres projets en cours envisagent de recourir à une analyse distribuée. </w:t>
      </w:r>
    </w:p>
    <w:p w14:paraId="3AE5F7AA" w14:textId="77777777" w:rsidR="009D555A" w:rsidRDefault="00000000">
      <w:pPr>
        <w:pStyle w:val="Heading2"/>
        <w:spacing w:before="200"/>
      </w:pPr>
      <w:bookmarkStart w:id="5" w:name="_heading=h.oqmdzdad3qde" w:colFirst="0" w:colLast="0"/>
      <w:bookmarkEnd w:id="5"/>
      <w:r>
        <w:t>Objectif 2 : Diversifier et harmoniser les données, et soutenir une utilisation des données innovante et respectueuse de la vie privée</w:t>
      </w:r>
    </w:p>
    <w:p w14:paraId="235AFA85" w14:textId="77777777" w:rsidR="009D555A" w:rsidRDefault="00000000">
      <w:pPr>
        <w:pStyle w:val="Heading3"/>
        <w:spacing w:before="200" w:after="200"/>
      </w:pPr>
      <w:bookmarkStart w:id="6" w:name="_heading=h.5rya50mbum7n" w:colFirst="0" w:colLast="0"/>
      <w:bookmarkEnd w:id="6"/>
      <w:r>
        <w:t>Mise à jour de la visualisation de la disponibilité des données (en cours)</w:t>
      </w:r>
    </w:p>
    <w:p w14:paraId="744977E9" w14:textId="77777777" w:rsidR="009D555A" w:rsidRDefault="00000000">
      <w:pPr>
        <w:numPr>
          <w:ilvl w:val="0"/>
          <w:numId w:val="12"/>
        </w:numPr>
        <w:pBdr>
          <w:top w:val="nil"/>
          <w:left w:val="nil"/>
          <w:bottom w:val="nil"/>
          <w:right w:val="nil"/>
          <w:between w:val="nil"/>
        </w:pBdr>
        <w:spacing w:after="0"/>
      </w:pPr>
      <w:bookmarkStart w:id="7" w:name="_heading=h.k0rco04fa5iu" w:colFirst="0" w:colLast="0"/>
      <w:bookmarkEnd w:id="7"/>
      <w:r>
        <w:t xml:space="preserve">L’équipe d’harmonisation des données et des outils (HDT) a mis à jour le tableau de données initialement préparé par l’équipe responsable des activités de mobilisation du grand public (PE) afin de donner un aperçu clair de la disponibilité des données dans les </w:t>
      </w:r>
      <w:r>
        <w:lastRenderedPageBreak/>
        <w:t>centres de données membres. Le tableau inclut désormais l’Île-du-Prince-Édouard et le Québec, et va au-delà de la version initiale en intégrant de nouveaux types de données de l’information sur la fréquence des mises à jour.</w:t>
      </w:r>
    </w:p>
    <w:p w14:paraId="418A1D4E" w14:textId="77777777" w:rsidR="009D555A" w:rsidRDefault="00000000">
      <w:pPr>
        <w:numPr>
          <w:ilvl w:val="0"/>
          <w:numId w:val="12"/>
        </w:numPr>
        <w:pBdr>
          <w:top w:val="nil"/>
          <w:left w:val="nil"/>
          <w:bottom w:val="nil"/>
          <w:right w:val="nil"/>
          <w:between w:val="nil"/>
        </w:pBdr>
        <w:spacing w:after="0"/>
      </w:pPr>
      <w:bookmarkStart w:id="8" w:name="_heading=h.poeqa7k64lx4" w:colFirst="0" w:colLast="0"/>
      <w:bookmarkEnd w:id="8"/>
      <w:r>
        <w:t xml:space="preserve">Des travaux supplémentaires sont en cours afin de préciser les catégories de données et de mettre au point une version destinée au grand public pour le site Web. Ce tableau mis à jour améliorera la transparence et permettra de mieux comprendre la disponibilité des données dans l’ensemble des sites. </w:t>
      </w:r>
    </w:p>
    <w:p w14:paraId="6A931652" w14:textId="77777777" w:rsidR="009D555A" w:rsidRDefault="00000000">
      <w:pPr>
        <w:pStyle w:val="Heading3"/>
        <w:spacing w:before="200" w:after="200"/>
      </w:pPr>
      <w:bookmarkStart w:id="9" w:name="_heading=h.c2w5kbvheun8" w:colFirst="0" w:colLast="0"/>
      <w:bookmarkEnd w:id="9"/>
      <w:r>
        <w:t>Projet de création d’un dictionnaire de concepts pancanadien : passage de la phase pilote à la phase de mise en œuvre et d’essais à l’échelle locale</w:t>
      </w:r>
    </w:p>
    <w:p w14:paraId="27CC3197" w14:textId="77777777" w:rsidR="009D555A" w:rsidRDefault="00000000">
      <w:pPr>
        <w:numPr>
          <w:ilvl w:val="0"/>
          <w:numId w:val="12"/>
        </w:numPr>
        <w:spacing w:after="0"/>
      </w:pPr>
      <w:bookmarkStart w:id="10" w:name="_heading=h.irfzvvvbn6eb" w:colFirst="0" w:colLast="0"/>
      <w:bookmarkEnd w:id="10"/>
      <w:r>
        <w:t>L’équipe HDT s’apprête à faire passer le projet pilote de dictionnaire de concepts pancanadien à la phase de mise en œuvre à grande échelle. Le conseil consultatif public révise et peaufine les descriptions en langage simple et les questions fréquemment posées, en vue de leur publication sur une page Web destinée au grand public.</w:t>
      </w:r>
    </w:p>
    <w:p w14:paraId="5F97339D" w14:textId="77777777" w:rsidR="009D555A" w:rsidRDefault="00000000">
      <w:pPr>
        <w:numPr>
          <w:ilvl w:val="0"/>
          <w:numId w:val="12"/>
        </w:numPr>
        <w:spacing w:after="0"/>
      </w:pPr>
      <w:bookmarkStart w:id="11" w:name="_heading=h.kqke0ptzss1u" w:colFirst="0" w:colLast="0"/>
      <w:bookmarkEnd w:id="11"/>
      <w:r>
        <w:t xml:space="preserve">Une collaboration est en cours avec la banque de données SAIL (Secure </w:t>
      </w:r>
      <w:proofErr w:type="spellStart"/>
      <w:r>
        <w:t>Anonymised</w:t>
      </w:r>
      <w:proofErr w:type="spellEnd"/>
      <w:r>
        <w:t xml:space="preserve"> Information Linkage), qui a développé le prototype. Cette collaboration consiste à mettre la plateforme en place à l’échelle locale et à transférer les concepts pilotes, afin de poursuivre les tests et d’améliorer l’outil avant son lancement officiel.</w:t>
      </w:r>
    </w:p>
    <w:p w14:paraId="46A3EBFF" w14:textId="77777777" w:rsidR="009D555A" w:rsidRDefault="00000000">
      <w:pPr>
        <w:pStyle w:val="Heading3"/>
        <w:spacing w:before="200" w:after="200"/>
      </w:pPr>
      <w:bookmarkStart w:id="12" w:name="_heading=h.l3izh9lwgbnf" w:colFirst="0" w:colLast="0"/>
      <w:bookmarkEnd w:id="12"/>
      <w:r>
        <w:t xml:space="preserve">Fin de l’examen relatif au respect de la vie privée, bien avant le déploiement en apprentissage fédéré de l’outil d’apprentissage automatique MASK pour la dépersonnalisation des données </w:t>
      </w:r>
    </w:p>
    <w:p w14:paraId="19A166F0" w14:textId="77777777" w:rsidR="009D555A" w:rsidRDefault="00000000">
      <w:pPr>
        <w:numPr>
          <w:ilvl w:val="0"/>
          <w:numId w:val="12"/>
        </w:numPr>
        <w:spacing w:before="200" w:after="200"/>
      </w:pPr>
      <w:r>
        <w:t>Un examen relatif au respect de la vie privée a été réalisé au Manitoba en préparation de la phase d’apprentissage fédéré du développement du modèle MASK. L’examen n’a rien détecté qui indiquerait que les identificateurs directs (p. ex. les numéros d’assurance maladie) sont conservés par le modèle durant son entraînement. Un risque limité a été décelé dans certaines situations; cette information est utilisée pour renforcer les mesures de protection de la vie privée avant le début de la phase d’apprentissage fédéré.</w:t>
      </w:r>
    </w:p>
    <w:p w14:paraId="5FF6BBBC" w14:textId="77777777" w:rsidR="009D555A" w:rsidRDefault="00000000">
      <w:pPr>
        <w:pStyle w:val="Heading2"/>
        <w:spacing w:before="200"/>
      </w:pPr>
      <w:bookmarkStart w:id="13" w:name="_heading=h.afhdj8yw42zd" w:colFirst="0" w:colLast="0"/>
      <w:bookmarkEnd w:id="13"/>
      <w:r>
        <w:lastRenderedPageBreak/>
        <w:t>Objectif 3 : Établir et renforcer les partenariats et faire preuve de leadership dans l’évolution des pratiques en matière de données</w:t>
      </w:r>
    </w:p>
    <w:p w14:paraId="178CFE21" w14:textId="77777777" w:rsidR="009D555A" w:rsidRDefault="00000000">
      <w:pPr>
        <w:pStyle w:val="Heading3"/>
        <w:keepNext w:val="0"/>
        <w:keepLines w:val="0"/>
        <w:tabs>
          <w:tab w:val="left" w:pos="461"/>
        </w:tabs>
        <w:spacing w:before="280" w:after="200" w:line="360" w:lineRule="auto"/>
        <w:rPr>
          <w:rFonts w:ascii="Arial" w:eastAsia="Arial" w:hAnsi="Arial" w:cs="Arial"/>
          <w:b/>
          <w:bCs/>
          <w:color w:val="EE0000"/>
          <w:sz w:val="26"/>
          <w:szCs w:val="26"/>
        </w:rPr>
      </w:pPr>
      <w:bookmarkStart w:id="14" w:name="_heading=h.2bbiqgz7usts" w:colFirst="0" w:colLast="0"/>
      <w:bookmarkEnd w:id="14"/>
      <w:r>
        <w:t>Collaborations internationales</w:t>
      </w:r>
    </w:p>
    <w:p w14:paraId="16FE01DF" w14:textId="77777777" w:rsidR="009D555A" w:rsidRDefault="00000000">
      <w:pPr>
        <w:numPr>
          <w:ilvl w:val="0"/>
          <w:numId w:val="7"/>
        </w:numPr>
        <w:tabs>
          <w:tab w:val="left" w:pos="0"/>
          <w:tab w:val="left" w:pos="0"/>
          <w:tab w:val="left" w:pos="0"/>
          <w:tab w:val="left" w:pos="0"/>
          <w:tab w:val="left" w:pos="0"/>
          <w:tab w:val="left" w:pos="0"/>
          <w:tab w:val="left" w:pos="0"/>
          <w:tab w:val="left" w:pos="0"/>
        </w:tabs>
        <w:spacing w:after="0"/>
        <w:ind w:left="360"/>
      </w:pPr>
      <w:r>
        <w:t xml:space="preserve">Le RRDS Canada a continué de renforcer son leadership en matière de participation du public et de gouvernance des données à l’échelle internationale, grâce à des collaborations et à des réunions régulières avec des organismes partenaires. Les collaborations avec le Population Health </w:t>
      </w:r>
      <w:proofErr w:type="spellStart"/>
      <w:r>
        <w:t>Research</w:t>
      </w:r>
      <w:proofErr w:type="spellEnd"/>
      <w:r>
        <w:t xml:space="preserve"> Network (PHRN) en Australie (axées sur l’acceptabilité sociale), </w:t>
      </w:r>
      <w:proofErr w:type="spellStart"/>
      <w:r>
        <w:t>Understanding</w:t>
      </w:r>
      <w:proofErr w:type="spellEnd"/>
      <w:r>
        <w:t xml:space="preserve"> Patient Data UK (axées sur l’espace européen des données de santé) et Health Data </w:t>
      </w:r>
      <w:proofErr w:type="spellStart"/>
      <w:r>
        <w:t>Research</w:t>
      </w:r>
      <w:proofErr w:type="spellEnd"/>
      <w:r>
        <w:t xml:space="preserve"> (HDR) UK (axées sur l’IA dans le domaine de la mobilisation du grand public) </w:t>
      </w:r>
      <w:proofErr w:type="gramStart"/>
      <w:r>
        <w:t>ont</w:t>
      </w:r>
      <w:proofErr w:type="gramEnd"/>
      <w:r>
        <w:t xml:space="preserve"> favorisé l’apprentissage mutuel de nouvelles approches en matière de confiance, de mobilisation et d’utilisation responsable des données de santé. Ces discussions permettent au RRDS Canada de faire partie d’un réseau mondial d’organismes qui œuvrent en faveur de la mobilisation du grand public dans des environnements à forte concentration de données.</w:t>
      </w:r>
    </w:p>
    <w:p w14:paraId="299A7F3C" w14:textId="77777777" w:rsidR="009D555A" w:rsidRDefault="00000000">
      <w:pPr>
        <w:tabs>
          <w:tab w:val="left" w:pos="0"/>
          <w:tab w:val="left" w:pos="0"/>
          <w:tab w:val="left" w:pos="0"/>
          <w:tab w:val="left" w:pos="0"/>
          <w:tab w:val="left" w:pos="0"/>
          <w:tab w:val="left" w:pos="0"/>
          <w:tab w:val="left" w:pos="0"/>
          <w:tab w:val="left" w:pos="0"/>
        </w:tabs>
        <w:spacing w:before="200" w:after="200"/>
        <w:rPr>
          <w:rFonts w:ascii="Lato" w:eastAsia="Lato" w:hAnsi="Lato" w:cs="Lato"/>
          <w:color w:val="EE0000"/>
          <w:sz w:val="28"/>
          <w:szCs w:val="28"/>
        </w:rPr>
      </w:pPr>
      <w:r>
        <w:rPr>
          <w:rFonts w:ascii="Lato" w:eastAsia="Lato" w:hAnsi="Lato" w:cs="Lato"/>
          <w:color w:val="006A78"/>
          <w:sz w:val="28"/>
          <w:szCs w:val="28"/>
        </w:rPr>
        <w:t>Partenariats liés à la mobilisation des patients au Canada</w:t>
      </w:r>
    </w:p>
    <w:p w14:paraId="270FF59E" w14:textId="77777777" w:rsidR="009D555A" w:rsidRDefault="00000000">
      <w:pPr>
        <w:numPr>
          <w:ilvl w:val="0"/>
          <w:numId w:val="1"/>
        </w:numPr>
        <w:tabs>
          <w:tab w:val="left" w:pos="0"/>
          <w:tab w:val="left" w:pos="0"/>
          <w:tab w:val="left" w:pos="0"/>
          <w:tab w:val="left" w:pos="0"/>
          <w:tab w:val="left" w:pos="0"/>
          <w:tab w:val="left" w:pos="0"/>
          <w:tab w:val="left" w:pos="0"/>
          <w:tab w:val="left" w:pos="0"/>
        </w:tabs>
        <w:spacing w:after="0"/>
        <w:ind w:left="360"/>
      </w:pPr>
      <w:r>
        <w:t>Le RRDS Canada a entretenu et renforcé ses partenariats nationaux grâce à une collaboration continue avec des organismes tels que le Réseau des patients partenaires et le réseau VITAL de GEMINI. Ces relations ont permis de poursuivre l’harmonisation des initiatives complémentaires en matière de mobilisation du grand public et d’infrastructure des données de santé, et ont contribué à élargir la coordination à l’échelle du système en ce qui concerne la mobilisation du grand public au sein de l’écosystème canadien des données de santé.</w:t>
      </w:r>
    </w:p>
    <w:p w14:paraId="2A4E798E" w14:textId="77777777" w:rsidR="009D555A" w:rsidRDefault="00000000">
      <w:pPr>
        <w:numPr>
          <w:ilvl w:val="0"/>
          <w:numId w:val="1"/>
        </w:numPr>
        <w:tabs>
          <w:tab w:val="left" w:pos="0"/>
          <w:tab w:val="left" w:pos="0"/>
          <w:tab w:val="left" w:pos="0"/>
          <w:tab w:val="left" w:pos="0"/>
          <w:tab w:val="left" w:pos="0"/>
          <w:tab w:val="left" w:pos="0"/>
          <w:tab w:val="left" w:pos="0"/>
          <w:tab w:val="left" w:pos="0"/>
        </w:tabs>
        <w:ind w:left="360"/>
      </w:pPr>
      <w:r>
        <w:t>La personne responsable des activités de mobilisation des patients a participé aux réunions de la communauté de pratique sur la mobilisation des patients de la Stratégie de recherche axée sur le patient (SRAP), contribuant ainsi à l’échange de connaissances à l’échelle nationale lors de réunions bimestrielles régulières</w:t>
      </w:r>
      <w:r>
        <w:rPr>
          <w:color w:val="EE0000"/>
        </w:rPr>
        <w:t>.</w:t>
      </w:r>
    </w:p>
    <w:p w14:paraId="1F99F72F" w14:textId="77777777" w:rsidR="009D555A" w:rsidRDefault="00000000">
      <w:pPr>
        <w:pStyle w:val="Heading3"/>
        <w:spacing w:before="200" w:after="200"/>
      </w:pPr>
      <w:bookmarkStart w:id="15" w:name="_heading=h.7eo895wjve7t" w:colFirst="0" w:colLast="0"/>
      <w:bookmarkEnd w:id="15"/>
      <w:r>
        <w:lastRenderedPageBreak/>
        <w:t>Lancement d’un réseau visant à promouvoir l’adoption et l’utilisation du modèle de données commun de l’</w:t>
      </w:r>
      <w:proofErr w:type="spellStart"/>
      <w:r>
        <w:t>Observational</w:t>
      </w:r>
      <w:proofErr w:type="spellEnd"/>
      <w:r>
        <w:t xml:space="preserve"> </w:t>
      </w:r>
      <w:proofErr w:type="spellStart"/>
      <w:r>
        <w:t>Medical</w:t>
      </w:r>
      <w:proofErr w:type="spellEnd"/>
      <w:r>
        <w:t xml:space="preserve"> </w:t>
      </w:r>
      <w:proofErr w:type="spellStart"/>
      <w:r>
        <w:t>Outcomes</w:t>
      </w:r>
      <w:proofErr w:type="spellEnd"/>
      <w:r>
        <w:t xml:space="preserve"> Partnership (OMOP) au Canada</w:t>
      </w:r>
    </w:p>
    <w:p w14:paraId="70AC7B32" w14:textId="77777777" w:rsidR="009D555A" w:rsidRDefault="00000000">
      <w:pPr>
        <w:numPr>
          <w:ilvl w:val="0"/>
          <w:numId w:val="15"/>
        </w:numPr>
        <w:spacing w:after="0"/>
        <w:rPr>
          <w:color w:val="000000"/>
        </w:rPr>
      </w:pPr>
      <w:r>
        <w:t>Le RRDS Canada a piloté la création d’une section canadienne de la communauté de l’</w:t>
      </w:r>
      <w:proofErr w:type="spellStart"/>
      <w:r>
        <w:t>Observational</w:t>
      </w:r>
      <w:proofErr w:type="spellEnd"/>
      <w:r>
        <w:t xml:space="preserve"> Health Data Sciences and </w:t>
      </w:r>
      <w:proofErr w:type="spellStart"/>
      <w:r>
        <w:t>Informatics</w:t>
      </w:r>
      <w:proofErr w:type="spellEnd"/>
      <w:r>
        <w:t xml:space="preserve"> (OHDSI), un réseau mondial de collaboration multidisciplinaire qui soutient l’utilisation et l’évolution du modèle de données commun de l’OMOP. La section canadienne a reçu l’approbation officielle du comité directeur mondial de l’OHDSI. Les objectifs et les résultats clés pour 2026 ont été définis, et deux sous-groupes sont créés pour coordonner l’harmonisation du vocabulaire avec celui de l’OMOP et soutenir la génération de données probantes sur plusieurs sites.</w:t>
      </w:r>
    </w:p>
    <w:p w14:paraId="23FF250D" w14:textId="77777777" w:rsidR="009D555A" w:rsidRDefault="00000000">
      <w:pPr>
        <w:numPr>
          <w:ilvl w:val="0"/>
          <w:numId w:val="15"/>
        </w:numPr>
        <w:spacing w:after="0"/>
        <w:rPr>
          <w:color w:val="000000"/>
        </w:rPr>
      </w:pPr>
      <w:r>
        <w:t>La direction du RRDS Canada renforce la visibilité et la crédibilité de l’organisme, tant à l’échelle nationale qu’internationale. Cela ouvre également de nouvelles possibilités de partenariats et de collaborations à grande échelle entre de nombreux sites dans le domaine de la recherche.</w:t>
      </w:r>
    </w:p>
    <w:p w14:paraId="0E3D2F2E" w14:textId="77777777" w:rsidR="009D555A" w:rsidRDefault="00000000">
      <w:pPr>
        <w:pStyle w:val="Heading3"/>
        <w:spacing w:before="200" w:after="200"/>
      </w:pPr>
      <w:bookmarkStart w:id="16" w:name="_heading=h.3anw1b5ktsdn" w:colFirst="0" w:colLast="0"/>
      <w:bookmarkEnd w:id="16"/>
      <w:r>
        <w:t>Programme d’essais cliniques pragmatiques</w:t>
      </w:r>
    </w:p>
    <w:p w14:paraId="5C47A7D0" w14:textId="77777777" w:rsidR="009D555A" w:rsidRDefault="00000000">
      <w:pPr>
        <w:numPr>
          <w:ilvl w:val="0"/>
          <w:numId w:val="4"/>
        </w:numPr>
        <w:tabs>
          <w:tab w:val="left" w:pos="360"/>
          <w:tab w:val="left" w:pos="360"/>
          <w:tab w:val="left" w:pos="360"/>
          <w:tab w:val="left" w:pos="360"/>
          <w:tab w:val="left" w:pos="360"/>
          <w:tab w:val="left" w:pos="360"/>
          <w:tab w:val="left" w:pos="360"/>
          <w:tab w:val="left" w:pos="360"/>
        </w:tabs>
        <w:spacing w:after="0"/>
        <w:ind w:left="360"/>
      </w:pPr>
      <w:r>
        <w:t xml:space="preserve">Le programme d’essais cliniques pragmatiques (PTTP) a organisé une deuxième conférence, au cours de laquelle 8 responsables d’essais cliniques ont présenté leurs protocoles, 15 experts ont pris la parole et une démonstration en direct a été effectuée. L’événement a attiré plus de 100 participants, ce qui a facilité les échanges constructifs et permis de recueillir des commentaires en direct. Ces commentaires seront pris en compte dans les protocoles d’essai, ce qui améliorera l’intégration dans les soins courants, prolongera la durabilité au-delà de la période d’essai et augmentera l’incidence sur les patients.  </w:t>
      </w:r>
    </w:p>
    <w:p w14:paraId="43FDC7EE" w14:textId="77777777" w:rsidR="009D555A" w:rsidRDefault="00000000">
      <w:pPr>
        <w:numPr>
          <w:ilvl w:val="0"/>
          <w:numId w:val="4"/>
        </w:numPr>
        <w:tabs>
          <w:tab w:val="left" w:pos="360"/>
          <w:tab w:val="left" w:pos="360"/>
          <w:tab w:val="left" w:pos="360"/>
          <w:tab w:val="left" w:pos="360"/>
          <w:tab w:val="left" w:pos="360"/>
          <w:tab w:val="left" w:pos="360"/>
          <w:tab w:val="left" w:pos="360"/>
          <w:tab w:val="left" w:pos="360"/>
        </w:tabs>
        <w:spacing w:after="0"/>
        <w:ind w:left="360"/>
      </w:pPr>
      <w:r>
        <w:t xml:space="preserve">Le PTTP a organisé une série de formations sur les leaders en matière de soins de santé aux Autochtones, qui a réuni quatre intervenants et donné lieu à des échanges avec deux gardiens du savoir autochtone. Ces séances ont permis d’aborder des thèmes tels que les principes régissant les données administratives, l’histoire autochtone et l’intégration des principes des Aînés dans les pratiques de recherche. Ce projet devrait permettre d’accroître la sensibilisation et de favoriser le respect des principes autochtones de </w:t>
      </w:r>
      <w:r>
        <w:lastRenderedPageBreak/>
        <w:t xml:space="preserve">propriété, de contrôle, d’accès et de possession, notamment grâce à une mobilisation accrue des collectivités et à une utilisation plus judicieuse des données. </w:t>
      </w:r>
    </w:p>
    <w:p w14:paraId="79EBC87A" w14:textId="77777777" w:rsidR="009D555A" w:rsidRDefault="00000000">
      <w:pPr>
        <w:numPr>
          <w:ilvl w:val="0"/>
          <w:numId w:val="4"/>
        </w:numPr>
        <w:tabs>
          <w:tab w:val="left" w:pos="360"/>
          <w:tab w:val="left" w:pos="360"/>
          <w:tab w:val="left" w:pos="360"/>
          <w:tab w:val="left" w:pos="360"/>
          <w:tab w:val="left" w:pos="360"/>
          <w:tab w:val="left" w:pos="360"/>
          <w:tab w:val="left" w:pos="360"/>
          <w:tab w:val="left" w:pos="360"/>
        </w:tabs>
        <w:spacing w:after="0"/>
        <w:ind w:left="360"/>
      </w:pPr>
      <w:r>
        <w:t xml:space="preserve">Un article a été soumis à des fins de publication; il présente en détail les principales caractéristiques et l’incidence prévue du PTTP. Ce document rend compte de la création de plus de 90 modules de formation en libre accès, de plus de 90 000 interactions avec le site Web du programme et de l’élaboration de plus de 20 protocoles. Ensemble, ces résultats contribuent à la mise en place d’un cadre structuré susceptible d’orienter et de soutenir les initiatives de formation futures. </w:t>
      </w:r>
    </w:p>
    <w:p w14:paraId="6576FA69" w14:textId="77777777" w:rsidR="009D555A" w:rsidRDefault="00000000">
      <w:pPr>
        <w:pStyle w:val="Heading3"/>
        <w:spacing w:before="200" w:after="200"/>
      </w:pPr>
      <w:bookmarkStart w:id="17" w:name="_heading=h.8plo9wgzai8t" w:colFirst="0" w:colLast="0"/>
      <w:bookmarkEnd w:id="17"/>
      <w:r>
        <w:t>Alliance pour la recherche sur les données de santé</w:t>
      </w:r>
    </w:p>
    <w:p w14:paraId="2071855C" w14:textId="77777777" w:rsidR="009D555A" w:rsidRDefault="00000000">
      <w:pPr>
        <w:numPr>
          <w:ilvl w:val="0"/>
          <w:numId w:val="11"/>
        </w:numPr>
        <w:tabs>
          <w:tab w:val="left" w:pos="0"/>
          <w:tab w:val="left" w:pos="0"/>
          <w:tab w:val="left" w:pos="0"/>
          <w:tab w:val="left" w:pos="0"/>
          <w:tab w:val="left" w:pos="0"/>
          <w:tab w:val="left" w:pos="0"/>
          <w:tab w:val="left" w:pos="0"/>
          <w:tab w:val="left" w:pos="0"/>
        </w:tabs>
        <w:spacing w:after="0"/>
        <w:ind w:left="360"/>
      </w:pPr>
      <w:hyperlink r:id="rId14">
        <w:r>
          <w:rPr>
            <w:color w:val="1155CC"/>
            <w:u w:val="single"/>
          </w:rPr>
          <w:t>Le nouveau site Web de l’Alliance pour la recherche sur les données de santé</w:t>
        </w:r>
      </w:hyperlink>
      <w:r>
        <w:t xml:space="preserve"> a été mis en ligne en mars. Des travaux sont en cours pour promouvoir l’incidence de l’Alliance et seront ajoutés à la page Web.  </w:t>
      </w:r>
    </w:p>
    <w:p w14:paraId="3E15CD86" w14:textId="77777777" w:rsidR="009D555A" w:rsidRDefault="00000000">
      <w:pPr>
        <w:numPr>
          <w:ilvl w:val="0"/>
          <w:numId w:val="11"/>
        </w:numPr>
        <w:tabs>
          <w:tab w:val="left" w:pos="0"/>
          <w:tab w:val="left" w:pos="0"/>
          <w:tab w:val="left" w:pos="0"/>
          <w:tab w:val="left" w:pos="0"/>
          <w:tab w:val="left" w:pos="0"/>
          <w:tab w:val="left" w:pos="0"/>
          <w:tab w:val="left" w:pos="0"/>
          <w:tab w:val="left" w:pos="0"/>
        </w:tabs>
        <w:spacing w:after="0"/>
        <w:ind w:left="360"/>
      </w:pPr>
      <w:r>
        <w:t xml:space="preserve">L’Alliance pour la recherche sur les données de santé compte quatre nouveaux membres : la </w:t>
      </w:r>
      <w:hyperlink r:id="rId15">
        <w:r>
          <w:rPr>
            <w:color w:val="1155CC"/>
            <w:u w:val="single"/>
          </w:rPr>
          <w:t>Collaboration de recherche avancée pour l’intégration de la santé, l’exploration médicale et la synthèse de données (ARCHIMEDES)</w:t>
        </w:r>
      </w:hyperlink>
      <w:r>
        <w:t xml:space="preserve">, le consortium </w:t>
      </w:r>
      <w:hyperlink r:id="rId16">
        <w:r>
          <w:rPr>
            <w:color w:val="1155CC"/>
            <w:u w:val="single"/>
          </w:rPr>
          <w:t xml:space="preserve">Canada </w:t>
        </w:r>
        <w:proofErr w:type="spellStart"/>
        <w:r>
          <w:rPr>
            <w:color w:val="1155CC"/>
            <w:u w:val="single"/>
          </w:rPr>
          <w:t>Supporting</w:t>
        </w:r>
        <w:proofErr w:type="spellEnd"/>
        <w:r>
          <w:rPr>
            <w:color w:val="1155CC"/>
            <w:u w:val="single"/>
          </w:rPr>
          <w:t xml:space="preserve"> Partnerships to Advance </w:t>
        </w:r>
        <w:proofErr w:type="spellStart"/>
        <w:r>
          <w:rPr>
            <w:color w:val="1155CC"/>
            <w:u w:val="single"/>
          </w:rPr>
          <w:t>caRe</w:t>
        </w:r>
        <w:proofErr w:type="spellEnd"/>
        <w:r>
          <w:rPr>
            <w:color w:val="1155CC"/>
            <w:u w:val="single"/>
          </w:rPr>
          <w:t xml:space="preserve"> and Knowledge in Long-</w:t>
        </w:r>
        <w:proofErr w:type="spellStart"/>
        <w:r>
          <w:rPr>
            <w:color w:val="1155CC"/>
            <w:u w:val="single"/>
          </w:rPr>
          <w:t>Term</w:t>
        </w:r>
        <w:proofErr w:type="spellEnd"/>
        <w:r>
          <w:rPr>
            <w:color w:val="1155CC"/>
            <w:u w:val="single"/>
          </w:rPr>
          <w:t xml:space="preserve"> Care (</w:t>
        </w:r>
        <w:proofErr w:type="spellStart"/>
        <w:r>
          <w:rPr>
            <w:color w:val="1155CC"/>
            <w:u w:val="single"/>
          </w:rPr>
          <w:t>CanSPARK</w:t>
        </w:r>
        <w:proofErr w:type="spellEnd"/>
        <w:r>
          <w:rPr>
            <w:color w:val="1155CC"/>
            <w:u w:val="single"/>
          </w:rPr>
          <w:t xml:space="preserve"> LTC)</w:t>
        </w:r>
      </w:hyperlink>
      <w:r>
        <w:t xml:space="preserve">, le </w:t>
      </w:r>
      <w:hyperlink r:id="rId17">
        <w:r>
          <w:rPr>
            <w:color w:val="1155CC"/>
            <w:u w:val="single"/>
          </w:rPr>
          <w:t xml:space="preserve">Canadian Centre for </w:t>
        </w:r>
        <w:proofErr w:type="spellStart"/>
        <w:r>
          <w:rPr>
            <w:color w:val="1155CC"/>
            <w:u w:val="single"/>
          </w:rPr>
          <w:t>Recovery</w:t>
        </w:r>
        <w:proofErr w:type="spellEnd"/>
        <w:r>
          <w:rPr>
            <w:color w:val="1155CC"/>
            <w:u w:val="single"/>
          </w:rPr>
          <w:t xml:space="preserve"> Excellence (CoRE)</w:t>
        </w:r>
      </w:hyperlink>
      <w:r>
        <w:t xml:space="preserve">, et le </w:t>
      </w:r>
      <w:hyperlink r:id="rId18">
        <w:r>
          <w:rPr>
            <w:color w:val="1155CC"/>
            <w:u w:val="single"/>
          </w:rPr>
          <w:t xml:space="preserve">Canadian </w:t>
        </w:r>
        <w:proofErr w:type="spellStart"/>
        <w:r>
          <w:rPr>
            <w:color w:val="1155CC"/>
            <w:u w:val="single"/>
          </w:rPr>
          <w:t>Neuromuscular</w:t>
        </w:r>
        <w:proofErr w:type="spellEnd"/>
        <w:r>
          <w:rPr>
            <w:color w:val="1155CC"/>
            <w:u w:val="single"/>
          </w:rPr>
          <w:t xml:space="preserve"> </w:t>
        </w:r>
        <w:proofErr w:type="spellStart"/>
        <w:r>
          <w:rPr>
            <w:color w:val="1155CC"/>
            <w:u w:val="single"/>
          </w:rPr>
          <w:t>Disease</w:t>
        </w:r>
        <w:proofErr w:type="spellEnd"/>
        <w:r>
          <w:rPr>
            <w:color w:val="1155CC"/>
            <w:u w:val="single"/>
          </w:rPr>
          <w:t xml:space="preserve"> </w:t>
        </w:r>
        <w:proofErr w:type="spellStart"/>
        <w:r>
          <w:rPr>
            <w:color w:val="1155CC"/>
            <w:u w:val="single"/>
          </w:rPr>
          <w:t>Registry</w:t>
        </w:r>
        <w:proofErr w:type="spellEnd"/>
        <w:r>
          <w:rPr>
            <w:color w:val="1155CC"/>
            <w:u w:val="single"/>
          </w:rPr>
          <w:t xml:space="preserve"> (CNDR)</w:t>
        </w:r>
      </w:hyperlink>
      <w:r>
        <w:rPr>
          <w:color w:val="1155CC"/>
        </w:rPr>
        <w:t>.</w:t>
      </w:r>
    </w:p>
    <w:p w14:paraId="657A62DF" w14:textId="77777777" w:rsidR="009D555A" w:rsidRDefault="00000000">
      <w:pPr>
        <w:numPr>
          <w:ilvl w:val="0"/>
          <w:numId w:val="11"/>
        </w:numPr>
        <w:tabs>
          <w:tab w:val="left" w:pos="461"/>
          <w:tab w:val="left" w:pos="461"/>
          <w:tab w:val="left" w:pos="461"/>
          <w:tab w:val="left" w:pos="461"/>
          <w:tab w:val="left" w:pos="461"/>
          <w:tab w:val="left" w:pos="461"/>
          <w:tab w:val="left" w:pos="461"/>
          <w:tab w:val="left" w:pos="461"/>
        </w:tabs>
        <w:spacing w:after="0"/>
        <w:ind w:left="360"/>
      </w:pPr>
      <w:r>
        <w:t>Les priorités de l’Alliance pour 2026 sont les suivantes :</w:t>
      </w:r>
    </w:p>
    <w:p w14:paraId="232FF302" w14:textId="77777777" w:rsidR="009D555A" w:rsidRDefault="00000000">
      <w:pPr>
        <w:numPr>
          <w:ilvl w:val="1"/>
          <w:numId w:val="16"/>
        </w:numPr>
        <w:pBdr>
          <w:top w:val="nil"/>
          <w:left w:val="nil"/>
          <w:bottom w:val="nil"/>
          <w:right w:val="nil"/>
          <w:between w:val="nil"/>
        </w:pBdr>
        <w:spacing w:after="0"/>
      </w:pPr>
      <w:r>
        <w:t xml:space="preserve">Devenir signataire du cadre d’évaluation de la recherche de la </w:t>
      </w:r>
      <w:r>
        <w:rPr>
          <w:i/>
          <w:iCs/>
        </w:rPr>
        <w:t xml:space="preserve">Digital </w:t>
      </w:r>
      <w:proofErr w:type="spellStart"/>
      <w:r>
        <w:rPr>
          <w:i/>
          <w:iCs/>
        </w:rPr>
        <w:t>Operational</w:t>
      </w:r>
      <w:proofErr w:type="spellEnd"/>
      <w:r>
        <w:rPr>
          <w:i/>
          <w:iCs/>
        </w:rPr>
        <w:t xml:space="preserve"> </w:t>
      </w:r>
      <w:proofErr w:type="spellStart"/>
      <w:r>
        <w:rPr>
          <w:i/>
          <w:iCs/>
        </w:rPr>
        <w:t>Resilience</w:t>
      </w:r>
      <w:proofErr w:type="spellEnd"/>
      <w:r>
        <w:rPr>
          <w:i/>
          <w:iCs/>
        </w:rPr>
        <w:t xml:space="preserve"> </w:t>
      </w:r>
      <w:proofErr w:type="spellStart"/>
      <w:r>
        <w:rPr>
          <w:i/>
          <w:iCs/>
        </w:rPr>
        <w:t>Act</w:t>
      </w:r>
      <w:proofErr w:type="spellEnd"/>
      <w:r>
        <w:t xml:space="preserve"> (DORA) et poursuivre les travaux liés aux rapports d’incidence</w:t>
      </w:r>
    </w:p>
    <w:p w14:paraId="018A6015" w14:textId="77777777" w:rsidR="009D555A" w:rsidRDefault="00000000">
      <w:pPr>
        <w:numPr>
          <w:ilvl w:val="1"/>
          <w:numId w:val="16"/>
        </w:numPr>
        <w:pBdr>
          <w:top w:val="nil"/>
          <w:left w:val="nil"/>
          <w:bottom w:val="nil"/>
          <w:right w:val="nil"/>
          <w:between w:val="nil"/>
        </w:pBdr>
        <w:spacing w:after="0"/>
      </w:pPr>
      <w:r>
        <w:t xml:space="preserve">Rédiger un mémoire conjoint sur le projet de loi S-5 : </w:t>
      </w:r>
      <w:r>
        <w:rPr>
          <w:i/>
          <w:iCs/>
        </w:rPr>
        <w:t xml:space="preserve">Loi visant un système de soins de santé connecté au Canada </w:t>
      </w:r>
      <w:r>
        <w:t>(</w:t>
      </w:r>
      <w:hyperlink r:id="rId19">
        <w:r>
          <w:rPr>
            <w:color w:val="1155CC"/>
            <w:u w:val="single"/>
          </w:rPr>
          <w:t>achevé</w:t>
        </w:r>
      </w:hyperlink>
      <w:r>
        <w:t xml:space="preserve"> et désormais accessible sur le </w:t>
      </w:r>
      <w:hyperlink r:id="rId20">
        <w:r>
          <w:rPr>
            <w:color w:val="1155CC"/>
            <w:u w:val="single"/>
          </w:rPr>
          <w:t>site Web du Sénat</w:t>
        </w:r>
      </w:hyperlink>
      <w:r>
        <w:t>)</w:t>
      </w:r>
    </w:p>
    <w:p w14:paraId="3494BCA1" w14:textId="77777777" w:rsidR="009D555A" w:rsidRDefault="00000000">
      <w:pPr>
        <w:numPr>
          <w:ilvl w:val="1"/>
          <w:numId w:val="16"/>
        </w:numPr>
        <w:pBdr>
          <w:top w:val="nil"/>
          <w:left w:val="nil"/>
          <w:bottom w:val="nil"/>
          <w:right w:val="nil"/>
          <w:between w:val="nil"/>
        </w:pBdr>
        <w:spacing w:after="0"/>
      </w:pPr>
      <w:r>
        <w:t xml:space="preserve">Explorer les possibilités de partenariats stratégiques dans le cadre du Programme d’infrastructure de calcul souveraine pour l’intelligence artificielle </w:t>
      </w:r>
    </w:p>
    <w:p w14:paraId="49152C67" w14:textId="77777777" w:rsidR="009D555A" w:rsidRDefault="00000000">
      <w:pPr>
        <w:numPr>
          <w:ilvl w:val="1"/>
          <w:numId w:val="16"/>
        </w:numPr>
        <w:pBdr>
          <w:top w:val="nil"/>
          <w:left w:val="nil"/>
          <w:bottom w:val="nil"/>
          <w:right w:val="nil"/>
          <w:between w:val="nil"/>
        </w:pBdr>
        <w:spacing w:after="0"/>
      </w:pPr>
      <w:r>
        <w:t>Produire des vidéos ou des documents explicatifs sur les données en tant qu’infrastructure, les données synthétiques, et l’IA et la gouvernance des données</w:t>
      </w:r>
    </w:p>
    <w:p w14:paraId="4C554E6F" w14:textId="77777777" w:rsidR="009D555A" w:rsidRDefault="00000000">
      <w:pPr>
        <w:numPr>
          <w:ilvl w:val="0"/>
          <w:numId w:val="16"/>
        </w:numPr>
        <w:tabs>
          <w:tab w:val="left" w:pos="0"/>
          <w:tab w:val="left" w:pos="0"/>
          <w:tab w:val="left" w:pos="0"/>
          <w:tab w:val="left" w:pos="0"/>
          <w:tab w:val="left" w:pos="0"/>
          <w:tab w:val="left" w:pos="0"/>
          <w:tab w:val="left" w:pos="0"/>
          <w:tab w:val="left" w:pos="0"/>
        </w:tabs>
        <w:spacing w:after="0"/>
        <w:ind w:left="360"/>
      </w:pPr>
      <w:r>
        <w:lastRenderedPageBreak/>
        <w:t xml:space="preserve">Les réunions du forum sur l’utilisation des données fédérées ont attiré de nombreux participants en 2026. La plus récente présentation, en avril, a été donnée par Robert Platt (président de l’Alliance pour la recherche sur les données de santé) et a porté sur l’IA générative appliquée à la modélisation des maladies. </w:t>
      </w:r>
    </w:p>
    <w:p w14:paraId="7FAEE6C4" w14:textId="77777777" w:rsidR="009D555A" w:rsidRDefault="00000000">
      <w:pPr>
        <w:pStyle w:val="Heading3"/>
        <w:spacing w:before="200" w:after="200"/>
      </w:pPr>
      <w:bookmarkStart w:id="18" w:name="_heading=h.o1p8k5yql0" w:colFirst="0" w:colLast="0"/>
      <w:bookmarkEnd w:id="18"/>
      <w:r>
        <w:t>Comité consultatif de la Plateforme canadienne de données de la SRAP</w:t>
      </w:r>
    </w:p>
    <w:p w14:paraId="73D7E35D" w14:textId="77777777" w:rsidR="009D555A" w:rsidRDefault="00000000">
      <w:pPr>
        <w:numPr>
          <w:ilvl w:val="0"/>
          <w:numId w:val="3"/>
        </w:numPr>
        <w:tabs>
          <w:tab w:val="left" w:pos="461"/>
          <w:tab w:val="left" w:pos="461"/>
          <w:tab w:val="left" w:pos="461"/>
          <w:tab w:val="left" w:pos="461"/>
          <w:tab w:val="left" w:pos="461"/>
          <w:tab w:val="left" w:pos="461"/>
          <w:tab w:val="left" w:pos="461"/>
          <w:tab w:val="left" w:pos="461"/>
        </w:tabs>
        <w:spacing w:after="0"/>
        <w:ind w:left="360"/>
      </w:pPr>
      <w:r>
        <w:t>Le Comité a tenu sa dix-neuvième réunion en mars. La planification des services intégrés du GSAD et de CAN-ASK, l’inventaire des algorithmes et la stratégie de communication figurent parmi les sujets abordés.</w:t>
      </w:r>
    </w:p>
    <w:p w14:paraId="3C3A51DC" w14:textId="77777777" w:rsidR="009D555A" w:rsidRDefault="00000000">
      <w:pPr>
        <w:numPr>
          <w:ilvl w:val="0"/>
          <w:numId w:val="3"/>
        </w:numPr>
        <w:tabs>
          <w:tab w:val="left" w:pos="461"/>
          <w:tab w:val="left" w:pos="461"/>
          <w:tab w:val="left" w:pos="461"/>
          <w:tab w:val="left" w:pos="461"/>
          <w:tab w:val="left" w:pos="461"/>
          <w:tab w:val="left" w:pos="461"/>
          <w:tab w:val="left" w:pos="461"/>
          <w:tab w:val="left" w:pos="461"/>
        </w:tabs>
        <w:spacing w:after="0"/>
        <w:ind w:left="360"/>
      </w:pPr>
      <w:r>
        <w:t xml:space="preserve">Kim McGrail quittera ses fonctions de présidente du comité, et Michelle Leach, directrice scientifique de l’unité de soutien de la </w:t>
      </w:r>
      <w:proofErr w:type="spellStart"/>
      <w:r>
        <w:t>Statégie</w:t>
      </w:r>
      <w:proofErr w:type="spellEnd"/>
      <w:r>
        <w:t xml:space="preserve"> de recherche axée sur le patient du Yukon (YSPOR), membre du RRDS Canada, lui succédera à compter du 12 juin.</w:t>
      </w:r>
    </w:p>
    <w:p w14:paraId="24632E21" w14:textId="77777777" w:rsidR="009D555A" w:rsidRDefault="00000000">
      <w:pPr>
        <w:pStyle w:val="Heading3"/>
        <w:spacing w:before="200" w:after="200"/>
      </w:pPr>
      <w:bookmarkStart w:id="19" w:name="_heading=h.gjrwvtcc2evj" w:colFirst="0" w:colLast="0"/>
      <w:bookmarkEnd w:id="19"/>
      <w:r>
        <w:t>Collaboration avec les partenaires internationaux</w:t>
      </w:r>
    </w:p>
    <w:p w14:paraId="0BED6D3A" w14:textId="77777777" w:rsidR="009D555A" w:rsidRDefault="00000000">
      <w:pPr>
        <w:numPr>
          <w:ilvl w:val="0"/>
          <w:numId w:val="3"/>
        </w:numPr>
        <w:tabs>
          <w:tab w:val="left" w:pos="461"/>
          <w:tab w:val="left" w:pos="461"/>
          <w:tab w:val="left" w:pos="461"/>
          <w:tab w:val="left" w:pos="461"/>
          <w:tab w:val="left" w:pos="461"/>
          <w:tab w:val="left" w:pos="461"/>
          <w:tab w:val="left" w:pos="461"/>
          <w:tab w:val="left" w:pos="461"/>
        </w:tabs>
        <w:spacing w:after="0"/>
        <w:ind w:left="360"/>
      </w:pPr>
      <w:r>
        <w:t xml:space="preserve">Des préparatifs sont en cours en vue d’une réunion de dirigeants d’organismes qui aura lieu lors de la conférence 2026 de l’International Population Data Linkage Network (IPDLN). Le RRDS Canada, HDR UK, Administrative Data </w:t>
      </w:r>
      <w:proofErr w:type="spellStart"/>
      <w:r>
        <w:t>Research</w:t>
      </w:r>
      <w:proofErr w:type="spellEnd"/>
      <w:r>
        <w:t xml:space="preserve"> UK et le PHRN prendront part à cette réunion. Nous menons actuellement une enquête auprès des dirigeants de ces organismes afin de définir les thèmes principaux de la réunion.</w:t>
      </w:r>
    </w:p>
    <w:p w14:paraId="2E83F741" w14:textId="77777777" w:rsidR="009D555A" w:rsidRDefault="00000000">
      <w:pPr>
        <w:pStyle w:val="Heading2"/>
        <w:spacing w:before="200"/>
      </w:pPr>
      <w:bookmarkStart w:id="20" w:name="_heading=h.prn9ri742ekc" w:colFirst="0" w:colLast="0"/>
      <w:bookmarkEnd w:id="20"/>
      <w:r>
        <w:t>Objectif 4 : Renforcer l’utilisation des données pour améliorer l’équité et soutenir la souveraineté des données dirigées par les peuples autochtones</w:t>
      </w:r>
    </w:p>
    <w:p w14:paraId="17B14066" w14:textId="77777777" w:rsidR="009D555A" w:rsidRDefault="00000000">
      <w:pPr>
        <w:pStyle w:val="Heading3"/>
        <w:spacing w:before="200" w:after="200"/>
      </w:pPr>
      <w:bookmarkStart w:id="21" w:name="_heading=h.8w65pwhohhbi" w:colFirst="0" w:colLast="0"/>
      <w:bookmarkEnd w:id="21"/>
      <w:r>
        <w:t>Soutien à la création d’un réseau national pour la souveraineté des données sur les Autochtones</w:t>
      </w:r>
    </w:p>
    <w:p w14:paraId="06003CFC" w14:textId="77777777" w:rsidR="009D555A" w:rsidRDefault="00000000">
      <w:pPr>
        <w:pStyle w:val="Heading4"/>
        <w:spacing w:after="0"/>
      </w:pPr>
      <w:bookmarkStart w:id="22" w:name="_heading=h.4fzrlk1eph6a" w:colFirst="0" w:colLast="0"/>
      <w:bookmarkEnd w:id="22"/>
      <w:r>
        <w:t xml:space="preserve">Collaborer avec des spécialistes, des organismes et des collectivités autochtones </w:t>
      </w:r>
    </w:p>
    <w:p w14:paraId="52303E4D" w14:textId="77777777" w:rsidR="009D555A" w:rsidRDefault="00000000">
      <w:pPr>
        <w:numPr>
          <w:ilvl w:val="0"/>
          <w:numId w:val="9"/>
        </w:numPr>
        <w:spacing w:after="0"/>
        <w:ind w:left="360"/>
      </w:pPr>
      <w:r>
        <w:t xml:space="preserve">Nous renforçons notre collaboration avec Shkaabe Makwa (le Centre de toxicomanie et de santé mentale) en Ontario. Nous discutons de différentes idées pour mobiliser les membres potentiels d’un réseau national pour la souveraineté des données sur les Autochtones. Nous prévoyons d’organiser ensemble une nouvelle séance de travail nationale sur la souveraineté et la gouvernance des données sur les Autochtones à l’automne 2026. Nous espérons collaborer avec le centre </w:t>
      </w:r>
      <w:proofErr w:type="spellStart"/>
      <w:r>
        <w:t>Ongomiizwin</w:t>
      </w:r>
      <w:proofErr w:type="spellEnd"/>
      <w:r>
        <w:t xml:space="preserve"> – </w:t>
      </w:r>
      <w:proofErr w:type="spellStart"/>
      <w:r>
        <w:t>Research</w:t>
      </w:r>
      <w:proofErr w:type="spellEnd"/>
      <w:r>
        <w:t xml:space="preserve"> pour </w:t>
      </w:r>
      <w:r>
        <w:lastRenderedPageBreak/>
        <w:t xml:space="preserve">organiser cette séance de travail lors du prochain symposium </w:t>
      </w:r>
      <w:proofErr w:type="spellStart"/>
      <w:r>
        <w:t>Ongomiizwin</w:t>
      </w:r>
      <w:proofErr w:type="spellEnd"/>
      <w:r>
        <w:t xml:space="preserve">, en nous appuyant sur les relations que Shkaabe Makwa, </w:t>
      </w:r>
      <w:proofErr w:type="spellStart"/>
      <w:r>
        <w:t>Ongomiizwin</w:t>
      </w:r>
      <w:proofErr w:type="spellEnd"/>
      <w:r>
        <w:t xml:space="preserve"> et l’équipe des données sur les Autochtones (IDT) entretiennent avec les chercheurs, les organismes et les collectivités autochtones. </w:t>
      </w:r>
    </w:p>
    <w:p w14:paraId="1FD2F700" w14:textId="77777777" w:rsidR="009D555A" w:rsidRDefault="00000000">
      <w:pPr>
        <w:numPr>
          <w:ilvl w:val="0"/>
          <w:numId w:val="9"/>
        </w:numPr>
        <w:spacing w:after="0"/>
        <w:ind w:left="360"/>
      </w:pPr>
      <w:r>
        <w:t>La personne responsable de l’équipe IDT collabore avec des spécialistes, des dirigeants d’organismes et des membres de collectivités autochtones dans d’autres domaines : l’équipe des pratiques en matière de données sur les Autochtones du RRDS Canada, l’équipe IDEA, l’</w:t>
      </w:r>
      <w:proofErr w:type="spellStart"/>
      <w:r>
        <w:t>Ongomiizwin</w:t>
      </w:r>
      <w:proofErr w:type="spellEnd"/>
      <w:r>
        <w:t xml:space="preserve"> </w:t>
      </w:r>
      <w:proofErr w:type="spellStart"/>
      <w:r>
        <w:t>Indigenous</w:t>
      </w:r>
      <w:proofErr w:type="spellEnd"/>
      <w:r>
        <w:t xml:space="preserve"> Institute of Health and Healing (à l’Université du Manitoba), le Centre de collaboration nationale de la santé autochtone, l’Institut de la santé des Autochtones des IRSC, Heritage </w:t>
      </w:r>
      <w:proofErr w:type="spellStart"/>
      <w:r>
        <w:t>Lab</w:t>
      </w:r>
      <w:proofErr w:type="spellEnd"/>
      <w:r>
        <w:t xml:space="preserve">, le First Nations Health and Social </w:t>
      </w:r>
      <w:proofErr w:type="spellStart"/>
      <w:r>
        <w:t>Secretariat</w:t>
      </w:r>
      <w:proofErr w:type="spellEnd"/>
      <w:r>
        <w:t xml:space="preserve">, Inuit </w:t>
      </w:r>
      <w:proofErr w:type="spellStart"/>
      <w:r>
        <w:t>Tapiriit</w:t>
      </w:r>
      <w:proofErr w:type="spellEnd"/>
      <w:r>
        <w:t xml:space="preserve"> </w:t>
      </w:r>
      <w:proofErr w:type="spellStart"/>
      <w:r>
        <w:t>Kanatami</w:t>
      </w:r>
      <w:proofErr w:type="spellEnd"/>
      <w:r>
        <w:t xml:space="preserve"> et la Manitoba </w:t>
      </w:r>
      <w:proofErr w:type="spellStart"/>
      <w:r>
        <w:t>Metis</w:t>
      </w:r>
      <w:proofErr w:type="spellEnd"/>
      <w:r>
        <w:t xml:space="preserve"> </w:t>
      </w:r>
      <w:proofErr w:type="spellStart"/>
      <w:r>
        <w:t>Federation</w:t>
      </w:r>
      <w:proofErr w:type="spellEnd"/>
      <w:r>
        <w:t>.</w:t>
      </w:r>
    </w:p>
    <w:p w14:paraId="7B5A8B78" w14:textId="77777777" w:rsidR="009D555A" w:rsidRDefault="00000000">
      <w:pPr>
        <w:pStyle w:val="Heading3"/>
        <w:spacing w:before="200" w:after="200"/>
      </w:pPr>
      <w:bookmarkStart w:id="23" w:name="_heading=h.ktnjfm2v4hy3" w:colFirst="0" w:colLast="0"/>
      <w:bookmarkEnd w:id="23"/>
      <w:r>
        <w:t>Collaboration avec les réseaux pour la souveraineté des données sur les Autochtones à l’échelle mondiale</w:t>
      </w:r>
    </w:p>
    <w:p w14:paraId="5BA57DF1" w14:textId="77777777" w:rsidR="009D555A" w:rsidRDefault="00000000">
      <w:pPr>
        <w:pStyle w:val="Heading4"/>
        <w:spacing w:after="0"/>
      </w:pPr>
      <w:bookmarkStart w:id="24" w:name="_heading=h.4v6t7m41g0he" w:colFirst="0" w:colLast="0"/>
      <w:bookmarkEnd w:id="24"/>
      <w:r>
        <w:t xml:space="preserve">Renforcer notre présence au sein de la Global </w:t>
      </w:r>
      <w:proofErr w:type="spellStart"/>
      <w:r>
        <w:t>Indigenous</w:t>
      </w:r>
      <w:proofErr w:type="spellEnd"/>
      <w:r>
        <w:t xml:space="preserve"> Data Alliance (GIDA)</w:t>
      </w:r>
    </w:p>
    <w:p w14:paraId="76DD706C" w14:textId="77777777" w:rsidR="009D555A" w:rsidRDefault="00000000">
      <w:pPr>
        <w:numPr>
          <w:ilvl w:val="0"/>
          <w:numId w:val="6"/>
        </w:numPr>
        <w:spacing w:after="0"/>
        <w:ind w:left="360"/>
      </w:pPr>
      <w:r>
        <w:t xml:space="preserve">Nous continuons à collaborer avec la Global </w:t>
      </w:r>
      <w:proofErr w:type="spellStart"/>
      <w:r>
        <w:t>Indigenous</w:t>
      </w:r>
      <w:proofErr w:type="spellEnd"/>
      <w:r>
        <w:t xml:space="preserve"> Data Alliance. Trois membres de notre cohorte canadienne ont participé à la réunion de la GIDA en février 2026, à Mexico. En raison des troubles qui agitaient alors le Mexique, la plupart des membres de la cohorte canadienne n’ont pas pu assister à la réunion. Les séances ont été enregistrées, alors les membres de la cohorte visionneront les enregistrements. </w:t>
      </w:r>
    </w:p>
    <w:p w14:paraId="282ED253" w14:textId="77777777" w:rsidR="009D555A" w:rsidRDefault="00000000">
      <w:pPr>
        <w:numPr>
          <w:ilvl w:val="0"/>
          <w:numId w:val="6"/>
        </w:numPr>
        <w:spacing w:after="0"/>
        <w:ind w:left="360"/>
      </w:pPr>
      <w:r>
        <w:t xml:space="preserve">La présidente de l’équipe IDT continue de participer aux réunions de la direction de la GIDA et à d’autres réunions qui sont organisées. </w:t>
      </w:r>
    </w:p>
    <w:p w14:paraId="274793FE" w14:textId="77777777" w:rsidR="009D555A" w:rsidRDefault="00000000">
      <w:pPr>
        <w:numPr>
          <w:ilvl w:val="0"/>
          <w:numId w:val="6"/>
        </w:numPr>
        <w:spacing w:after="0"/>
        <w:ind w:left="360"/>
      </w:pPr>
      <w:r>
        <w:t xml:space="preserve">La réunion internationale sur la gouvernance et la souveraineté des données sur les Autochtones est en préparation; elle devrait avoir lieu à Vancouver, en 2027. </w:t>
      </w:r>
    </w:p>
    <w:p w14:paraId="000548F3" w14:textId="77777777" w:rsidR="009D555A" w:rsidRDefault="00000000">
      <w:pPr>
        <w:pStyle w:val="Heading3"/>
        <w:spacing w:before="200" w:after="200"/>
      </w:pPr>
      <w:bookmarkStart w:id="25" w:name="_heading=h.nosgpmx8w2a5" w:colFirst="0" w:colLast="0"/>
      <w:bookmarkEnd w:id="25"/>
      <w:r>
        <w:t>Renforcement des capacités et intégration des perspectives, des savoirs et des connaissances autochtones dans la recherche</w:t>
      </w:r>
    </w:p>
    <w:p w14:paraId="65CC454D" w14:textId="77777777" w:rsidR="009D555A" w:rsidRDefault="00000000">
      <w:pPr>
        <w:pStyle w:val="Heading4"/>
        <w:spacing w:after="0"/>
      </w:pPr>
      <w:bookmarkStart w:id="26" w:name="_heading=h.umse8nfk3w5o" w:colFirst="0" w:colLast="0"/>
      <w:bookmarkEnd w:id="26"/>
      <w:r>
        <w:t xml:space="preserve">Renforcer les capacités des centres de données de recherche  </w:t>
      </w:r>
    </w:p>
    <w:p w14:paraId="688B8F8F" w14:textId="77777777" w:rsidR="009D555A" w:rsidRDefault="00000000">
      <w:pPr>
        <w:numPr>
          <w:ilvl w:val="0"/>
          <w:numId w:val="8"/>
        </w:numPr>
        <w:spacing w:after="0"/>
        <w:ind w:left="360"/>
      </w:pPr>
      <w:r>
        <w:t xml:space="preserve">En collaboration avec l’équipe de communication du RRDS Canada, l’équipe IDT a organisé une table ronde sur les données des Premières Nations, des Inuits et des Métis lors du forum public Des données sur la santé pour toutes et tous : notre parcours des </w:t>
      </w:r>
      <w:r>
        <w:lastRenderedPageBreak/>
        <w:t xml:space="preserve">données sur la santé, qui a eu lieu le 21 avril 2026. La présidente de l’équipe IDT a apporté sa contribution au Forum à plusieurs égards : elle a recruté des conférenciers, elle a fait une présentation sur la médecine traditionnelle avec plantes médicinales à utiliser pendant la table ronde, elle a également animé la table ronde et a clôturé la séance par une réflexion sur la journée écoulée et le partage d’un chant traditionnel qui lui avait été offert. Quatre conférenciers autochtones ont présenté leurs travaux dans le domaine de la recherche dirigée par les Autochtones et des partenariats avec des organismes et des chercheurs non autochtones : </w:t>
      </w:r>
    </w:p>
    <w:p w14:paraId="4D0F60ED" w14:textId="77777777" w:rsidR="009D555A" w:rsidRDefault="00000000">
      <w:pPr>
        <w:numPr>
          <w:ilvl w:val="1"/>
          <w:numId w:val="8"/>
        </w:numPr>
        <w:spacing w:after="0"/>
      </w:pPr>
      <w:r>
        <w:t xml:space="preserve">Caroline Tait (chercheuse métisse, Université de Calgary) </w:t>
      </w:r>
    </w:p>
    <w:p w14:paraId="6206473A" w14:textId="77777777" w:rsidR="009D555A" w:rsidRDefault="00000000">
      <w:pPr>
        <w:numPr>
          <w:ilvl w:val="1"/>
          <w:numId w:val="8"/>
        </w:numPr>
        <w:spacing w:after="0"/>
      </w:pPr>
      <w:r>
        <w:t xml:space="preserve">Jillian Waruk (épidémiologiste métisse, First Nations Health and Social </w:t>
      </w:r>
      <w:proofErr w:type="spellStart"/>
      <w:r>
        <w:t>Secretariat</w:t>
      </w:r>
      <w:proofErr w:type="spellEnd"/>
      <w:r>
        <w:t xml:space="preserve"> of Manitoba) </w:t>
      </w:r>
    </w:p>
    <w:p w14:paraId="25E761D3" w14:textId="77777777" w:rsidR="009D555A" w:rsidRDefault="00000000">
      <w:pPr>
        <w:numPr>
          <w:ilvl w:val="1"/>
          <w:numId w:val="8"/>
        </w:numPr>
        <w:spacing w:after="0"/>
      </w:pPr>
      <w:r>
        <w:t xml:space="preserve">Jonathan Yu (non-Autochtone, </w:t>
      </w:r>
      <w:proofErr w:type="spellStart"/>
      <w:r>
        <w:t>Tukisigiarviksaqutinit</w:t>
      </w:r>
      <w:proofErr w:type="spellEnd"/>
      <w:r>
        <w:t xml:space="preserve"> </w:t>
      </w:r>
      <w:proofErr w:type="spellStart"/>
      <w:r>
        <w:t>Qaujigiarti</w:t>
      </w:r>
      <w:proofErr w:type="spellEnd"/>
      <w:r>
        <w:t xml:space="preserve">) </w:t>
      </w:r>
    </w:p>
    <w:p w14:paraId="38A0A8C1" w14:textId="77777777" w:rsidR="009D555A" w:rsidRDefault="00000000">
      <w:pPr>
        <w:numPr>
          <w:ilvl w:val="1"/>
          <w:numId w:val="8"/>
        </w:numPr>
        <w:spacing w:after="0"/>
      </w:pPr>
      <w:r>
        <w:t>Nathalie Buissé (non-Autochtone, Université du Manitoba et Soins communs Manitoba, soutient la gouvernance et l’utilisation des données fondées sur la race, l’ethnicité et l’identité autochtone au sein du système de santé du Manitoba).</w:t>
      </w:r>
    </w:p>
    <w:p w14:paraId="0676CA6F" w14:textId="77777777" w:rsidR="009D555A" w:rsidRDefault="00000000">
      <w:pPr>
        <w:numPr>
          <w:ilvl w:val="0"/>
          <w:numId w:val="8"/>
        </w:numPr>
        <w:spacing w:after="0"/>
        <w:ind w:left="360"/>
      </w:pPr>
      <w:r>
        <w:t xml:space="preserve">La personne responsable de l’équipe IDT organisera des journées de cueillette de plantes médicinales traditionnelles, qui seront utilisées lors des événements organisés par RRDS Canada. Les membres de l’équipe IDEA et d’autres membres du personnel du RRDS Canada pourraient y participer. </w:t>
      </w:r>
    </w:p>
    <w:p w14:paraId="1640C165" w14:textId="77777777" w:rsidR="009D555A" w:rsidRDefault="00000000">
      <w:pPr>
        <w:pStyle w:val="Heading3"/>
        <w:spacing w:before="200" w:after="200"/>
      </w:pPr>
      <w:bookmarkStart w:id="27" w:name="_heading=h.4icvlwcjgqwy" w:colFirst="0" w:colLast="0"/>
      <w:bookmarkEnd w:id="27"/>
      <w:r>
        <w:t>Mise en œuvre de nos stratégies IDEA</w:t>
      </w:r>
    </w:p>
    <w:p w14:paraId="4D47F497" w14:textId="77777777" w:rsidR="009D555A" w:rsidRDefault="00000000">
      <w:pPr>
        <w:spacing w:before="200" w:after="200"/>
        <w:rPr>
          <w:b/>
          <w:bCs/>
        </w:rPr>
      </w:pPr>
      <w:r>
        <w:rPr>
          <w:b/>
          <w:bCs/>
        </w:rPr>
        <w:t>Stratégie IDEA 1 : Apprendre/désapprendre</w:t>
      </w:r>
    </w:p>
    <w:p w14:paraId="5C7F27D6" w14:textId="77777777" w:rsidR="009D555A" w:rsidRDefault="00000000">
      <w:pPr>
        <w:numPr>
          <w:ilvl w:val="0"/>
          <w:numId w:val="13"/>
        </w:numPr>
        <w:spacing w:after="0"/>
      </w:pPr>
      <w:r>
        <w:t xml:space="preserve">Dix-huit mois de séances de désapprentissage de la communauté de pratique IDEA ont été menés à bien. Les six premiers mois du programme ont été mis en ligne sur le site Web, et trois mini-modules vidéo ont été réalisés en collaboration avec les membres de la communauté de pratique et publiés sur </w:t>
      </w:r>
      <w:hyperlink r:id="rId21">
        <w:r>
          <w:rPr>
            <w:color w:val="1155CC"/>
            <w:u w:val="single"/>
          </w:rPr>
          <w:t>la chaîne YouTube du RRDS Canada</w:t>
        </w:r>
      </w:hyperlink>
      <w:r>
        <w:t>.</w:t>
      </w:r>
    </w:p>
    <w:p w14:paraId="15281490" w14:textId="77777777" w:rsidR="009D555A" w:rsidRDefault="00000000">
      <w:pPr>
        <w:numPr>
          <w:ilvl w:val="0"/>
          <w:numId w:val="13"/>
        </w:numPr>
        <w:spacing w:after="0"/>
      </w:pPr>
      <w:r>
        <w:t xml:space="preserve">Les compétences IDEA de base ont été évaluées par l’équipe IDEA et font actuellement l’objet d’un travail de sélection et de mises en correspondance plus approfondi. </w:t>
      </w:r>
    </w:p>
    <w:p w14:paraId="3DA9874B" w14:textId="77777777" w:rsidR="009D555A" w:rsidRDefault="00000000">
      <w:pPr>
        <w:spacing w:before="200" w:after="200"/>
      </w:pPr>
      <w:r>
        <w:rPr>
          <w:b/>
          <w:bCs/>
        </w:rPr>
        <w:t>Stratégie IDEA 2 : Faciliter l’IDEA dans la recherche de données</w:t>
      </w:r>
    </w:p>
    <w:p w14:paraId="2BB81DD1" w14:textId="77777777" w:rsidR="009D555A" w:rsidRDefault="00000000">
      <w:pPr>
        <w:numPr>
          <w:ilvl w:val="0"/>
          <w:numId w:val="13"/>
        </w:numPr>
        <w:spacing w:after="0"/>
      </w:pPr>
      <w:r>
        <w:lastRenderedPageBreak/>
        <w:t>Des notes d’information sur le dictionnaire de concepts pancanadien et les modèles de données communs ont été rédigées. Des travaux sur les biographies de données et les métadonnées améliorées sont menés en collaboration avec l’équipe HDT.</w:t>
      </w:r>
    </w:p>
    <w:p w14:paraId="515C9F09" w14:textId="77777777" w:rsidR="009D555A" w:rsidRDefault="00000000">
      <w:pPr>
        <w:spacing w:before="200" w:after="200"/>
        <w:rPr>
          <w:b/>
          <w:bCs/>
        </w:rPr>
      </w:pPr>
      <w:r>
        <w:rPr>
          <w:b/>
          <w:bCs/>
        </w:rPr>
        <w:t>Stratégie IDEA 3 : Cultiver la confiance et la réciprocité dans les partenariats communautaires</w:t>
      </w:r>
    </w:p>
    <w:p w14:paraId="694DFA61" w14:textId="77777777" w:rsidR="009D555A" w:rsidRDefault="00000000">
      <w:pPr>
        <w:numPr>
          <w:ilvl w:val="0"/>
          <w:numId w:val="13"/>
        </w:numPr>
        <w:spacing w:after="0"/>
      </w:pPr>
      <w:r>
        <w:t>Une ébauche d’infographie a été préparée pour orienter la prise de décisions sur les nouveaux projets se rapportant à la nécessité de mobiliser le grand public.</w:t>
      </w:r>
    </w:p>
    <w:p w14:paraId="6F8B3A78" w14:textId="77777777" w:rsidR="009D555A" w:rsidRDefault="00000000">
      <w:pPr>
        <w:numPr>
          <w:ilvl w:val="0"/>
          <w:numId w:val="13"/>
        </w:numPr>
        <w:spacing w:after="0"/>
      </w:pPr>
      <w:r>
        <w:t xml:space="preserve">Les membres de l’équipe ont offert des conseils sur le forum public </w:t>
      </w:r>
      <w:r>
        <w:rPr>
          <w:i/>
          <w:iCs/>
        </w:rPr>
        <w:t>Des données de santé pour toutes et tous</w:t>
      </w:r>
      <w:r>
        <w:t xml:space="preserve"> 2026, afin de garantir que l’IDEA soit </w:t>
      </w:r>
      <w:proofErr w:type="gramStart"/>
      <w:r>
        <w:t>prise</w:t>
      </w:r>
      <w:proofErr w:type="gramEnd"/>
      <w:r>
        <w:t xml:space="preserve"> en compte dans la planification de l’événement et les présentations.</w:t>
      </w:r>
    </w:p>
    <w:p w14:paraId="4B4F08A0" w14:textId="77777777" w:rsidR="009D555A" w:rsidRDefault="00000000">
      <w:pPr>
        <w:spacing w:before="200" w:after="200"/>
        <w:rPr>
          <w:b/>
          <w:bCs/>
        </w:rPr>
      </w:pPr>
      <w:r>
        <w:rPr>
          <w:b/>
          <w:bCs/>
        </w:rPr>
        <w:t>Stratégie IDEA 4 : Assurer le leadership et la promotion des intérêts en matière d’IDEA</w:t>
      </w:r>
    </w:p>
    <w:p w14:paraId="320AC5DB" w14:textId="77777777" w:rsidR="009D555A" w:rsidRDefault="00000000">
      <w:pPr>
        <w:numPr>
          <w:ilvl w:val="0"/>
          <w:numId w:val="13"/>
        </w:numPr>
        <w:spacing w:after="0"/>
      </w:pPr>
      <w:r>
        <w:t xml:space="preserve">Un plan de projet, visant à intégrer l’IDEA et la souveraineté des données sur les Autochtones dans le cadre Five Safes (cinq éléments de la sécurité), a été élaboré. Le plan présente d’abord une analyse de l’environnement, qui recense les mesures déjà mises en œuvre par les différents sites conformément aux cinq éléments du cadre. </w:t>
      </w:r>
    </w:p>
    <w:p w14:paraId="62553354" w14:textId="77777777" w:rsidR="009D555A" w:rsidRDefault="00000000">
      <w:pPr>
        <w:numPr>
          <w:ilvl w:val="0"/>
          <w:numId w:val="13"/>
        </w:numPr>
        <w:spacing w:after="0"/>
      </w:pPr>
      <w:r>
        <w:t>Un document de recommandations a été préparé et sera présenté à l’Alliance pour la recherche sur les données de santé. Il appelle à l’adoption de mesures collectives visant à faire progresser l’IDEA au sein de l’écosystème des données administratives.</w:t>
      </w:r>
    </w:p>
    <w:p w14:paraId="799F165F" w14:textId="77777777" w:rsidR="009D555A" w:rsidRDefault="00000000">
      <w:pPr>
        <w:numPr>
          <w:ilvl w:val="0"/>
          <w:numId w:val="13"/>
        </w:numPr>
        <w:spacing w:after="0"/>
      </w:pPr>
      <w:r>
        <w:t>Les membres de l’équipe IDEA participent au développement de CAN-ASK ainsi qu’aux travaux relatifs aux services de données intégrés.</w:t>
      </w:r>
    </w:p>
    <w:p w14:paraId="672A3A30" w14:textId="77777777" w:rsidR="009D555A" w:rsidRDefault="00000000">
      <w:pPr>
        <w:numPr>
          <w:ilvl w:val="0"/>
          <w:numId w:val="13"/>
        </w:numPr>
        <w:spacing w:after="0"/>
      </w:pPr>
      <w:r>
        <w:t xml:space="preserve">L’équipe prépare des analyses comparatives IDEA afin d’évaluer les progrès réalisés à ce jour par le RRDS Canada dans l’intégration de l’IDEA à l’échelle du réseau, et pour orienter les initiatives visant à renforcer nos capacités en matière d’IDEA. Les analyses comparatives seront achevées au deuxième trimestre 2026 et diffusées à l’automne. </w:t>
      </w:r>
    </w:p>
    <w:p w14:paraId="5A07310E" w14:textId="77777777" w:rsidR="009D555A" w:rsidRDefault="00000000">
      <w:pPr>
        <w:spacing w:before="200" w:after="200" w:line="276" w:lineRule="auto"/>
      </w:pPr>
      <w:r>
        <w:rPr>
          <w:rFonts w:ascii="Lato" w:eastAsia="Lato" w:hAnsi="Lato" w:cs="Lato"/>
          <w:color w:val="006A78"/>
          <w:sz w:val="28"/>
          <w:szCs w:val="28"/>
        </w:rPr>
        <w:t>Résumés et publications</w:t>
      </w:r>
    </w:p>
    <w:p w14:paraId="60F1DC52" w14:textId="77777777" w:rsidR="009D555A" w:rsidRDefault="00000000">
      <w:pPr>
        <w:numPr>
          <w:ilvl w:val="0"/>
          <w:numId w:val="17"/>
        </w:numPr>
        <w:spacing w:after="0"/>
        <w:rPr>
          <w:b/>
          <w:bCs/>
        </w:rPr>
      </w:pPr>
      <w:r>
        <w:t>L’article intitulé « </w:t>
      </w:r>
      <w:proofErr w:type="spellStart"/>
      <w:r>
        <w:fldChar w:fldCharType="begin"/>
      </w:r>
      <w:r>
        <w:instrText>HYPERLINK "https://ijpds.org/article/view/2964" \h</w:instrText>
      </w:r>
      <w:r>
        <w:fldChar w:fldCharType="separate"/>
      </w:r>
      <w:r>
        <w:rPr>
          <w:color w:val="1155CC"/>
          <w:u w:val="single"/>
        </w:rPr>
        <w:t>Understanding</w:t>
      </w:r>
      <w:proofErr w:type="spellEnd"/>
      <w:r>
        <w:rPr>
          <w:color w:val="1155CC"/>
          <w:u w:val="single"/>
        </w:rPr>
        <w:t xml:space="preserve"> Inclusion, Diversity, </w:t>
      </w:r>
      <w:proofErr w:type="spellStart"/>
      <w:r>
        <w:rPr>
          <w:color w:val="1155CC"/>
          <w:u w:val="single"/>
        </w:rPr>
        <w:t>Equity</w:t>
      </w:r>
      <w:proofErr w:type="spellEnd"/>
      <w:r>
        <w:rPr>
          <w:color w:val="1155CC"/>
          <w:u w:val="single"/>
        </w:rPr>
        <w:t xml:space="preserve">, and </w:t>
      </w:r>
      <w:proofErr w:type="spellStart"/>
      <w:r>
        <w:rPr>
          <w:color w:val="1155CC"/>
          <w:u w:val="single"/>
        </w:rPr>
        <w:t>Accessibility</w:t>
      </w:r>
      <w:proofErr w:type="spellEnd"/>
      <w:r>
        <w:rPr>
          <w:color w:val="1155CC"/>
          <w:u w:val="single"/>
        </w:rPr>
        <w:t xml:space="preserve"> in a </w:t>
      </w:r>
      <w:proofErr w:type="spellStart"/>
      <w:r>
        <w:rPr>
          <w:color w:val="1155CC"/>
          <w:u w:val="single"/>
        </w:rPr>
        <w:t>distributed</w:t>
      </w:r>
      <w:proofErr w:type="spellEnd"/>
      <w:r>
        <w:rPr>
          <w:color w:val="1155CC"/>
          <w:u w:val="single"/>
        </w:rPr>
        <w:t xml:space="preserve"> data network: </w:t>
      </w:r>
      <w:proofErr w:type="spellStart"/>
      <w:r>
        <w:rPr>
          <w:color w:val="1155CC"/>
          <w:u w:val="single"/>
        </w:rPr>
        <w:t>Environmental</w:t>
      </w:r>
      <w:proofErr w:type="spellEnd"/>
      <w:r>
        <w:rPr>
          <w:color w:val="1155CC"/>
          <w:u w:val="single"/>
        </w:rPr>
        <w:t xml:space="preserve"> scan </w:t>
      </w:r>
      <w:proofErr w:type="spellStart"/>
      <w:r>
        <w:rPr>
          <w:color w:val="1155CC"/>
          <w:u w:val="single"/>
        </w:rPr>
        <w:t>within</w:t>
      </w:r>
      <w:proofErr w:type="spellEnd"/>
      <w:r>
        <w:rPr>
          <w:color w:val="1155CC"/>
          <w:u w:val="single"/>
        </w:rPr>
        <w:t xml:space="preserve"> Health Data </w:t>
      </w:r>
      <w:proofErr w:type="spellStart"/>
      <w:r>
        <w:rPr>
          <w:color w:val="1155CC"/>
          <w:u w:val="single"/>
        </w:rPr>
        <w:t>Research</w:t>
      </w:r>
      <w:proofErr w:type="spellEnd"/>
      <w:r>
        <w:rPr>
          <w:color w:val="1155CC"/>
          <w:u w:val="single"/>
        </w:rPr>
        <w:t xml:space="preserve"> Network </w:t>
      </w:r>
      <w:r>
        <w:rPr>
          <w:color w:val="1155CC"/>
          <w:u w:val="single"/>
        </w:rPr>
        <w:lastRenderedPageBreak/>
        <w:t>Canada</w:t>
      </w:r>
      <w:r>
        <w:fldChar w:fldCharType="end"/>
      </w:r>
      <w:r>
        <w:t xml:space="preserve"> » a été publié dans la revue </w:t>
      </w:r>
      <w:r>
        <w:rPr>
          <w:i/>
          <w:iCs/>
        </w:rPr>
        <w:t>International Journal of Population Data Science</w:t>
      </w:r>
      <w:r>
        <w:t xml:space="preserve"> (IJPDS).</w:t>
      </w:r>
    </w:p>
    <w:p w14:paraId="399E27C1" w14:textId="77777777" w:rsidR="009D555A" w:rsidRDefault="00000000">
      <w:pPr>
        <w:numPr>
          <w:ilvl w:val="0"/>
          <w:numId w:val="17"/>
        </w:numPr>
        <w:spacing w:after="0"/>
        <w:rPr>
          <w:b/>
          <w:bCs/>
        </w:rPr>
      </w:pPr>
      <w:r>
        <w:t>Les membres de l’équipe IDEA ont corédigé trois résumés, qui ont été sélectionnés en vue d’une présentation lors de la conférence 2026 de l’IPDLN.</w:t>
      </w:r>
    </w:p>
    <w:p w14:paraId="0367FB85" w14:textId="77777777" w:rsidR="009D555A" w:rsidRDefault="00000000">
      <w:pPr>
        <w:numPr>
          <w:ilvl w:val="0"/>
          <w:numId w:val="17"/>
        </w:numPr>
        <w:spacing w:after="0"/>
        <w:rPr>
          <w:b/>
          <w:bCs/>
        </w:rPr>
      </w:pPr>
      <w:r>
        <w:t>Un article sur la mise en œuvre de la stratégie IDEA a été soumis à un comité d’examen par les pairs.</w:t>
      </w:r>
    </w:p>
    <w:p w14:paraId="4728E014" w14:textId="77777777" w:rsidR="009D555A" w:rsidRDefault="00000000">
      <w:pPr>
        <w:spacing w:before="200" w:after="200" w:line="276" w:lineRule="auto"/>
      </w:pPr>
      <w:r>
        <w:rPr>
          <w:rFonts w:ascii="Lato" w:eastAsia="Lato" w:hAnsi="Lato" w:cs="Lato"/>
          <w:color w:val="006A78"/>
          <w:sz w:val="28"/>
          <w:szCs w:val="28"/>
        </w:rPr>
        <w:t>Webinaire De grandes idées sur les données de santé en vedette</w:t>
      </w:r>
    </w:p>
    <w:p w14:paraId="0629330A" w14:textId="77777777" w:rsidR="009D555A" w:rsidRDefault="00000000">
      <w:pPr>
        <w:numPr>
          <w:ilvl w:val="0"/>
          <w:numId w:val="17"/>
        </w:numPr>
        <w:spacing w:after="0"/>
      </w:pPr>
      <w:r>
        <w:t>La troisième édition de la série de conférences</w:t>
      </w:r>
      <w:hyperlink r:id="rId22">
        <w:r>
          <w:t xml:space="preserve"> </w:t>
        </w:r>
      </w:hyperlink>
      <w:hyperlink r:id="rId23">
        <w:r>
          <w:rPr>
            <w:i/>
            <w:iCs/>
            <w:color w:val="1155CC"/>
            <w:u w:val="single"/>
          </w:rPr>
          <w:t>De grandes idées sur les données de santé</w:t>
        </w:r>
      </w:hyperlink>
      <w:r>
        <w:t xml:space="preserve"> continue de susciter un vif intérêt. La séance la plus récente, intitulée </w:t>
      </w:r>
      <w:r>
        <w:rPr>
          <w:i/>
          <w:iCs/>
        </w:rPr>
        <w:t xml:space="preserve">Social </w:t>
      </w:r>
      <w:proofErr w:type="spellStart"/>
      <w:r>
        <w:rPr>
          <w:i/>
          <w:iCs/>
        </w:rPr>
        <w:t>Contexts</w:t>
      </w:r>
      <w:proofErr w:type="spellEnd"/>
      <w:r>
        <w:rPr>
          <w:i/>
          <w:iCs/>
        </w:rPr>
        <w:t xml:space="preserve"> of Administrative Data About Substance Use </w:t>
      </w:r>
      <w:proofErr w:type="spellStart"/>
      <w:r>
        <w:rPr>
          <w:i/>
          <w:iCs/>
        </w:rPr>
        <w:t>Disorder</w:t>
      </w:r>
      <w:proofErr w:type="spellEnd"/>
      <w:r>
        <w:t xml:space="preserve"> a attiré 213 participants en direct et 500 inscriptions.</w:t>
      </w:r>
      <w:r>
        <w:rPr>
          <w:i/>
          <w:iCs/>
        </w:rPr>
        <w:t xml:space="preserve"> </w:t>
      </w:r>
      <w:r>
        <w:t>La série de webinaires diffusée sur la chaîne YouTube du RRDS Canada a été visionnée par plus de 6 000 personnes.</w:t>
      </w:r>
    </w:p>
    <w:p w14:paraId="7597BCF4" w14:textId="77777777" w:rsidR="009D555A" w:rsidRDefault="00000000">
      <w:pPr>
        <w:pStyle w:val="Heading2"/>
        <w:spacing w:before="200"/>
      </w:pPr>
      <w:bookmarkStart w:id="28" w:name="_heading=h.5oh14me2y2g5" w:colFirst="0" w:colLast="0"/>
      <w:bookmarkEnd w:id="28"/>
      <w:r>
        <w:t>Objectif 5 : Assurer une participation publique et communautaire intentionnelle et continue</w:t>
      </w:r>
    </w:p>
    <w:p w14:paraId="5938D0EE" w14:textId="77777777" w:rsidR="009D555A" w:rsidRDefault="00000000">
      <w:pPr>
        <w:pStyle w:val="Heading3"/>
        <w:spacing w:before="200" w:after="200"/>
      </w:pPr>
      <w:bookmarkStart w:id="29" w:name="_heading=h.56y09x4oa9hx" w:colFirst="0" w:colLast="0"/>
      <w:bookmarkEnd w:id="29"/>
      <w:r>
        <w:t>Forum public Des données de santé pour toutes et tous 2026</w:t>
      </w:r>
    </w:p>
    <w:p w14:paraId="73B410B3" w14:textId="77777777" w:rsidR="009D555A" w:rsidRDefault="00000000">
      <w:pPr>
        <w:numPr>
          <w:ilvl w:val="0"/>
          <w:numId w:val="18"/>
        </w:numPr>
        <w:tabs>
          <w:tab w:val="left" w:pos="0"/>
          <w:tab w:val="left" w:pos="0"/>
          <w:tab w:val="left" w:pos="0"/>
          <w:tab w:val="left" w:pos="0"/>
          <w:tab w:val="left" w:pos="0"/>
          <w:tab w:val="left" w:pos="0"/>
          <w:tab w:val="left" w:pos="0"/>
          <w:tab w:val="left" w:pos="0"/>
        </w:tabs>
        <w:spacing w:after="0"/>
        <w:ind w:left="450"/>
        <w:rPr>
          <w:color w:val="000000"/>
        </w:rPr>
      </w:pPr>
      <w:r>
        <w:t xml:space="preserve">Le forum public </w:t>
      </w:r>
      <w:r>
        <w:rPr>
          <w:i/>
          <w:iCs/>
        </w:rPr>
        <w:t>Des données de santé pour toutes et tous</w:t>
      </w:r>
      <w:r>
        <w:t xml:space="preserve"> s’est déroulé avec succès le 21 avril 2026. Le thème du forum de cette année était le parcours en matière de données de santé. Cet événement a réuni des conférenciers variés et a permis d’aborder des points de vue divers. Notamment, une table ronde spécialisée avec des représentants des Premières Nations, des Inuits et des Métis a été organisée. Cette table ronde a permis de réaffirmer les engagements pris envers l’IDEA et la souveraineté des données sur les Autochtones. Le programme complet de la journée peut être consulté </w:t>
      </w:r>
      <w:hyperlink r:id="rId24">
        <w:r>
          <w:rPr>
            <w:color w:val="1155CC"/>
            <w:u w:val="single"/>
          </w:rPr>
          <w:t>ici</w:t>
        </w:r>
      </w:hyperlink>
      <w:r>
        <w:t xml:space="preserve">. </w:t>
      </w:r>
    </w:p>
    <w:p w14:paraId="5DF1A5DA" w14:textId="77777777" w:rsidR="009D555A" w:rsidRDefault="00000000">
      <w:pPr>
        <w:numPr>
          <w:ilvl w:val="0"/>
          <w:numId w:val="18"/>
        </w:numPr>
        <w:tabs>
          <w:tab w:val="left" w:pos="0"/>
          <w:tab w:val="left" w:pos="0"/>
          <w:tab w:val="left" w:pos="0"/>
          <w:tab w:val="left" w:pos="0"/>
          <w:tab w:val="left" w:pos="0"/>
          <w:tab w:val="left" w:pos="0"/>
          <w:tab w:val="left" w:pos="0"/>
          <w:tab w:val="left" w:pos="0"/>
        </w:tabs>
        <w:spacing w:after="0"/>
        <w:ind w:left="450"/>
        <w:rPr>
          <w:color w:val="000000"/>
        </w:rPr>
      </w:pPr>
      <w:r>
        <w:t xml:space="preserve">Le forum a attiré 123 participants sur place et 972 inscriptions pour la diffusion en ligne, pour un total de 591 participants virtuels. Les vidéos de toutes les séances peuvent être visionnées sur </w:t>
      </w:r>
      <w:hyperlink r:id="rId25">
        <w:r>
          <w:rPr>
            <w:color w:val="1155CC"/>
            <w:u w:val="single"/>
          </w:rPr>
          <w:t xml:space="preserve">la chaîne YouTube du RRDS Canada. </w:t>
        </w:r>
      </w:hyperlink>
    </w:p>
    <w:p w14:paraId="1A747BBB" w14:textId="77777777" w:rsidR="009D555A" w:rsidRDefault="00000000">
      <w:pPr>
        <w:numPr>
          <w:ilvl w:val="0"/>
          <w:numId w:val="18"/>
        </w:numPr>
        <w:tabs>
          <w:tab w:val="left" w:pos="0"/>
          <w:tab w:val="left" w:pos="0"/>
          <w:tab w:val="left" w:pos="0"/>
          <w:tab w:val="left" w:pos="0"/>
          <w:tab w:val="left" w:pos="0"/>
          <w:tab w:val="left" w:pos="0"/>
          <w:tab w:val="left" w:pos="0"/>
          <w:tab w:val="left" w:pos="0"/>
        </w:tabs>
        <w:spacing w:after="0"/>
        <w:ind w:left="450"/>
        <w:rPr>
          <w:color w:val="000000"/>
        </w:rPr>
      </w:pPr>
      <w:r>
        <w:t>Pour la première fois, des commanditaires ont été recherchés pour le forum. Le RRDS Canada a obtenu le soutien financier et logistique de six partenaires, ce qui a permis de couvrir une partie des frais liés à l’organisation de l’événement.</w:t>
      </w:r>
    </w:p>
    <w:p w14:paraId="01BB7F1E" w14:textId="77777777" w:rsidR="009D555A" w:rsidRDefault="00000000">
      <w:pPr>
        <w:pStyle w:val="Heading3"/>
        <w:spacing w:before="200" w:after="200"/>
      </w:pPr>
      <w:bookmarkStart w:id="30" w:name="_heading=h.bzzrhqebcu3f" w:colFirst="0" w:colLast="0"/>
      <w:bookmarkEnd w:id="30"/>
      <w:r>
        <w:lastRenderedPageBreak/>
        <w:t>Conseil consultatif public (CCP) : renforcer la gouvernance, la mobilisation et l’influence</w:t>
      </w:r>
    </w:p>
    <w:p w14:paraId="11084EA2" w14:textId="77777777" w:rsidR="009D555A" w:rsidRDefault="00000000">
      <w:pPr>
        <w:numPr>
          <w:ilvl w:val="0"/>
          <w:numId w:val="2"/>
        </w:numPr>
        <w:tabs>
          <w:tab w:val="left" w:pos="461"/>
          <w:tab w:val="left" w:pos="461"/>
          <w:tab w:val="left" w:pos="461"/>
          <w:tab w:val="left" w:pos="461"/>
          <w:tab w:val="left" w:pos="461"/>
          <w:tab w:val="left" w:pos="461"/>
          <w:tab w:val="left" w:pos="461"/>
          <w:tab w:val="left" w:pos="461"/>
        </w:tabs>
        <w:spacing w:after="0"/>
        <w:ind w:left="450" w:hanging="450"/>
      </w:pPr>
      <w:r>
        <w:t>Le CCP a continué d’exercer son rôle d’organe consultatif central, apportant son soutien aux initiatives et aux processus décisionnels du RRDS Canada.</w:t>
      </w:r>
    </w:p>
    <w:p w14:paraId="06BD6131" w14:textId="77777777" w:rsidR="009D555A" w:rsidRDefault="00000000">
      <w:pPr>
        <w:numPr>
          <w:ilvl w:val="0"/>
          <w:numId w:val="2"/>
        </w:numPr>
        <w:tabs>
          <w:tab w:val="left" w:pos="461"/>
          <w:tab w:val="left" w:pos="461"/>
          <w:tab w:val="left" w:pos="461"/>
          <w:tab w:val="left" w:pos="461"/>
          <w:tab w:val="left" w:pos="461"/>
          <w:tab w:val="left" w:pos="461"/>
          <w:tab w:val="left" w:pos="461"/>
          <w:tab w:val="left" w:pos="461"/>
        </w:tabs>
        <w:spacing w:after="0"/>
        <w:ind w:left="450" w:hanging="450"/>
      </w:pPr>
      <w:r>
        <w:t xml:space="preserve">Une réunion virtuelle du CCP a eu lieu en mars, au cours de laquelle une consultation sur le dictionnaire de concepts pancanadien a eu lieu. Le public a donc pu donner directement son avis sur les priorités en matière de normalisation des données. </w:t>
      </w:r>
    </w:p>
    <w:p w14:paraId="2A465218" w14:textId="77777777" w:rsidR="009D555A" w:rsidRDefault="00000000">
      <w:pPr>
        <w:numPr>
          <w:ilvl w:val="0"/>
          <w:numId w:val="2"/>
        </w:numPr>
        <w:tabs>
          <w:tab w:val="left" w:pos="461"/>
          <w:tab w:val="left" w:pos="461"/>
          <w:tab w:val="left" w:pos="461"/>
          <w:tab w:val="left" w:pos="461"/>
          <w:tab w:val="left" w:pos="461"/>
          <w:tab w:val="left" w:pos="461"/>
          <w:tab w:val="left" w:pos="461"/>
          <w:tab w:val="left" w:pos="461"/>
        </w:tabs>
        <w:spacing w:after="0"/>
        <w:ind w:left="450" w:hanging="450"/>
      </w:pPr>
      <w:r>
        <w:t xml:space="preserve">La réunion annuelle en personne du CCP s’est tenue le 20 avril. Au programme figuraient des discussions sur l’avenir du RRDS Canada, l’écosystème des données de santé et les séances d’apprentissage et de désapprentissage IDEA, ainsi qu’une présentation du Réseau des patients partenaires et un examen des possibilités de collaboration. </w:t>
      </w:r>
    </w:p>
    <w:p w14:paraId="66C82C85" w14:textId="77777777" w:rsidR="009D555A" w:rsidRDefault="00000000">
      <w:pPr>
        <w:numPr>
          <w:ilvl w:val="0"/>
          <w:numId w:val="2"/>
        </w:numPr>
        <w:tabs>
          <w:tab w:val="left" w:pos="461"/>
          <w:tab w:val="left" w:pos="461"/>
          <w:tab w:val="left" w:pos="461"/>
          <w:tab w:val="left" w:pos="461"/>
          <w:tab w:val="left" w:pos="461"/>
          <w:tab w:val="left" w:pos="461"/>
          <w:tab w:val="left" w:pos="461"/>
          <w:tab w:val="left" w:pos="461"/>
        </w:tabs>
        <w:spacing w:after="0"/>
        <w:ind w:left="450" w:hanging="450"/>
      </w:pPr>
      <w:r>
        <w:t>Les membres du CCP ont poursuivi leur collaboration avec l’équipe tactique de CAN-ASK responsable de la mobilisation et le comité du programme Des données de santé pour toutes et tous, démontrant un respect constant des meilleures pratiques établies en matière de mobilisation du grand public, notamment celles du cadre de l’Association internationale pour la participation publique (AIP</w:t>
      </w:r>
      <w:r>
        <w:rPr>
          <w:vertAlign w:val="superscript"/>
        </w:rPr>
        <w:t>2</w:t>
      </w:r>
      <w:r>
        <w:t>).</w:t>
      </w:r>
    </w:p>
    <w:p w14:paraId="2860E74C" w14:textId="77777777" w:rsidR="009D555A" w:rsidRDefault="00000000">
      <w:pPr>
        <w:numPr>
          <w:ilvl w:val="0"/>
          <w:numId w:val="2"/>
        </w:numPr>
        <w:tabs>
          <w:tab w:val="left" w:pos="461"/>
          <w:tab w:val="left" w:pos="461"/>
          <w:tab w:val="left" w:pos="461"/>
          <w:tab w:val="left" w:pos="461"/>
          <w:tab w:val="left" w:pos="461"/>
          <w:tab w:val="left" w:pos="461"/>
          <w:tab w:val="left" w:pos="461"/>
          <w:tab w:val="left" w:pos="461"/>
        </w:tabs>
        <w:spacing w:after="0"/>
        <w:ind w:left="450" w:hanging="450"/>
      </w:pPr>
      <w:r>
        <w:t>La gouvernance et le soutien opérationnel du CCP ont été renforcés grâce à une révision continue du mandat et aux sondages de satisfaction menés après les réunions dans le but d’améliorer l’expérience des membres et la qualité de leur mobilisation.</w:t>
      </w:r>
    </w:p>
    <w:p w14:paraId="2896278D" w14:textId="77777777" w:rsidR="009D555A" w:rsidRDefault="00000000">
      <w:pPr>
        <w:numPr>
          <w:ilvl w:val="0"/>
          <w:numId w:val="2"/>
        </w:numPr>
        <w:tabs>
          <w:tab w:val="left" w:pos="461"/>
          <w:tab w:val="left" w:pos="461"/>
          <w:tab w:val="left" w:pos="461"/>
          <w:tab w:val="left" w:pos="461"/>
          <w:tab w:val="left" w:pos="461"/>
          <w:tab w:val="left" w:pos="461"/>
          <w:tab w:val="left" w:pos="461"/>
          <w:tab w:val="left" w:pos="461"/>
        </w:tabs>
        <w:spacing w:after="0"/>
        <w:ind w:left="450" w:hanging="450"/>
      </w:pPr>
      <w:r>
        <w:t>Le recrutement des membres du CCP a débuté le 1</w:t>
      </w:r>
      <w:r>
        <w:rPr>
          <w:vertAlign w:val="superscript"/>
        </w:rPr>
        <w:t>er</w:t>
      </w:r>
      <w:r>
        <w:t> avril.</w:t>
      </w:r>
    </w:p>
    <w:p w14:paraId="23781701" w14:textId="77777777" w:rsidR="009D555A" w:rsidRDefault="00000000">
      <w:pPr>
        <w:numPr>
          <w:ilvl w:val="0"/>
          <w:numId w:val="2"/>
        </w:numPr>
        <w:tabs>
          <w:tab w:val="left" w:pos="461"/>
          <w:tab w:val="left" w:pos="461"/>
          <w:tab w:val="left" w:pos="461"/>
          <w:tab w:val="left" w:pos="461"/>
          <w:tab w:val="left" w:pos="461"/>
          <w:tab w:val="left" w:pos="461"/>
          <w:tab w:val="left" w:pos="461"/>
          <w:tab w:val="left" w:pos="461"/>
        </w:tabs>
        <w:spacing w:after="0"/>
        <w:ind w:left="450" w:hanging="450"/>
      </w:pPr>
      <w:r>
        <w:t>Le CCP a joué un rôle actif dans la définition des priorités en matière de mobilisation, notamment en proposant des idées de campagne pour le mois de la littératie en santé, cet automne, et en créant un groupe de travail chargé de faire avancer ce projet.</w:t>
      </w:r>
    </w:p>
    <w:p w14:paraId="51173F7A" w14:textId="77777777" w:rsidR="009D555A" w:rsidRDefault="00000000">
      <w:pPr>
        <w:pStyle w:val="Heading3"/>
        <w:spacing w:after="200"/>
      </w:pPr>
      <w:bookmarkStart w:id="31" w:name="_heading=h.cem3xn21yznr" w:colFirst="0" w:colLast="0"/>
      <w:bookmarkEnd w:id="31"/>
      <w:r>
        <w:t>Création et évaluation de l’équipe PE</w:t>
      </w:r>
    </w:p>
    <w:p w14:paraId="03EB1B6B" w14:textId="77777777" w:rsidR="009D555A" w:rsidRDefault="00000000">
      <w:pPr>
        <w:numPr>
          <w:ilvl w:val="0"/>
          <w:numId w:val="18"/>
        </w:numPr>
        <w:tabs>
          <w:tab w:val="left" w:pos="461"/>
          <w:tab w:val="left" w:pos="461"/>
          <w:tab w:val="left" w:pos="461"/>
          <w:tab w:val="left" w:pos="461"/>
          <w:tab w:val="left" w:pos="461"/>
          <w:tab w:val="left" w:pos="461"/>
          <w:tab w:val="left" w:pos="461"/>
          <w:tab w:val="left" w:pos="461"/>
        </w:tabs>
        <w:spacing w:after="0"/>
        <w:ind w:left="450" w:hanging="450"/>
      </w:pPr>
      <w:r>
        <w:t>Les activités de mobilisation du grand public ont été renforcées grâce à l’amélioration des processus internes et des pratiques d’évaluation.</w:t>
      </w:r>
    </w:p>
    <w:p w14:paraId="6D878127" w14:textId="77777777" w:rsidR="009D555A" w:rsidRDefault="00000000">
      <w:pPr>
        <w:numPr>
          <w:ilvl w:val="0"/>
          <w:numId w:val="18"/>
        </w:numPr>
        <w:tabs>
          <w:tab w:val="left" w:pos="461"/>
          <w:tab w:val="left" w:pos="461"/>
          <w:tab w:val="left" w:pos="461"/>
          <w:tab w:val="left" w:pos="461"/>
          <w:tab w:val="left" w:pos="461"/>
          <w:tab w:val="left" w:pos="461"/>
          <w:tab w:val="left" w:pos="461"/>
          <w:tab w:val="left" w:pos="461"/>
        </w:tabs>
        <w:spacing w:after="0"/>
        <w:ind w:left="450" w:hanging="450"/>
      </w:pPr>
      <w:r>
        <w:t>La collecte de témoignages a été amorcée dans le cadre de la démarche d’évaluation de l’équipe PE, en commençant par une campagne ciblée auprès des unités de soutien de la SRAP. Ainsi, le RRDS Canada a pu mieux démontrer les résultats et la valeur des activités de mobilisation du grand public, au-delà des simples réalisations.</w:t>
      </w:r>
    </w:p>
    <w:p w14:paraId="0272B899" w14:textId="77777777" w:rsidR="009D555A" w:rsidRDefault="00000000">
      <w:pPr>
        <w:numPr>
          <w:ilvl w:val="0"/>
          <w:numId w:val="18"/>
        </w:numPr>
        <w:tabs>
          <w:tab w:val="left" w:pos="461"/>
          <w:tab w:val="left" w:pos="461"/>
          <w:tab w:val="left" w:pos="461"/>
          <w:tab w:val="left" w:pos="461"/>
          <w:tab w:val="left" w:pos="461"/>
          <w:tab w:val="left" w:pos="461"/>
          <w:tab w:val="left" w:pos="461"/>
          <w:tab w:val="left" w:pos="461"/>
        </w:tabs>
        <w:ind w:left="450" w:hanging="450"/>
      </w:pPr>
      <w:r>
        <w:lastRenderedPageBreak/>
        <w:t>Sur le plan opérationnel, l’équipe PE est passée à un modèle alternant les réunions opérationnelles et les séances de type « communauté de pratique », ce qui a permis d’élargir le partage du travail entre les organismes et favorisé l’apprentissage entre pairs au sein du réseau.</w:t>
      </w:r>
    </w:p>
    <w:p w14:paraId="062069C7" w14:textId="77777777" w:rsidR="009D555A" w:rsidRDefault="00000000">
      <w:pPr>
        <w:pStyle w:val="Heading3"/>
        <w:spacing w:before="200" w:after="200"/>
      </w:pPr>
      <w:bookmarkStart w:id="32" w:name="_heading=h.qpz30p7bnru2" w:colFirst="0" w:colLast="0"/>
      <w:bookmarkEnd w:id="32"/>
      <w:r>
        <w:t>Intégration de la mobilisation du grand public dans les activités du RRDS Canada</w:t>
      </w:r>
    </w:p>
    <w:p w14:paraId="2486A082" w14:textId="77777777" w:rsidR="009D555A" w:rsidRDefault="00000000">
      <w:pPr>
        <w:numPr>
          <w:ilvl w:val="0"/>
          <w:numId w:val="18"/>
        </w:numPr>
        <w:tabs>
          <w:tab w:val="left" w:pos="0"/>
          <w:tab w:val="left" w:pos="0"/>
          <w:tab w:val="left" w:pos="0"/>
          <w:tab w:val="left" w:pos="0"/>
          <w:tab w:val="left" w:pos="0"/>
          <w:tab w:val="left" w:pos="0"/>
          <w:tab w:val="left" w:pos="0"/>
          <w:tab w:val="left" w:pos="0"/>
        </w:tabs>
        <w:spacing w:after="0"/>
        <w:ind w:left="450" w:hanging="450"/>
      </w:pPr>
      <w:r>
        <w:t>L’équipe PE a poursuivi sa participation active aux initiatives transversales du RRDS Canada, en apportant sa contribution aux équipes tactiques de CAN-ASK responsables des mesures de protection du secteur privé et de la mobilisation, ainsi qu’au sous-groupe 3 de la stratégie IDEA, axé sur la confiance et la réciprocité au sein des collectivités.</w:t>
      </w:r>
    </w:p>
    <w:p w14:paraId="5BC861F3" w14:textId="77777777" w:rsidR="009D555A" w:rsidRDefault="00000000">
      <w:pPr>
        <w:numPr>
          <w:ilvl w:val="0"/>
          <w:numId w:val="18"/>
        </w:numPr>
        <w:tabs>
          <w:tab w:val="left" w:pos="0"/>
          <w:tab w:val="left" w:pos="0"/>
          <w:tab w:val="left" w:pos="0"/>
          <w:tab w:val="left" w:pos="0"/>
          <w:tab w:val="left" w:pos="0"/>
          <w:tab w:val="left" w:pos="0"/>
          <w:tab w:val="left" w:pos="0"/>
          <w:tab w:val="left" w:pos="0"/>
        </w:tabs>
        <w:ind w:left="450" w:hanging="450"/>
      </w:pPr>
      <w:r>
        <w:t>Les travaux visant à renforcer la coordination entre les équipes PE et IDEA ont progressé. Les discussions sur les chevauchements et la collaboration ont abouti à l’organisation d’une réunion conjointe des équipes PE et IDEA en juin, afin de clarifier les rôles, de réduire les chevauchements et de renforcer l’incidence commune des différentes initiatives.</w:t>
      </w:r>
    </w:p>
    <w:p w14:paraId="316283DA" w14:textId="77777777" w:rsidR="009D555A" w:rsidRDefault="00000000">
      <w:pPr>
        <w:pStyle w:val="Heading2"/>
        <w:spacing w:before="200"/>
      </w:pPr>
      <w:bookmarkStart w:id="33" w:name="_heading=h.tguxbjlay0mo" w:colFirst="0" w:colLast="0"/>
      <w:bookmarkEnd w:id="33"/>
      <w:r>
        <w:t>Facteur de réussite : un réseau cohésif avec des activités efficaces et durables</w:t>
      </w:r>
    </w:p>
    <w:p w14:paraId="2B6918D0" w14:textId="77777777" w:rsidR="009D555A" w:rsidRDefault="00000000">
      <w:pPr>
        <w:pStyle w:val="Heading3"/>
        <w:spacing w:before="200" w:after="200"/>
      </w:pPr>
      <w:bookmarkStart w:id="34" w:name="_heading=h.qqbq2pbhdu67" w:colFirst="0" w:colLast="0"/>
      <w:bookmarkEnd w:id="34"/>
      <w:r>
        <w:t>Initiatives du RRDS Canada en matière de durabilité</w:t>
      </w:r>
    </w:p>
    <w:p w14:paraId="79E9BC80" w14:textId="77777777" w:rsidR="009D555A" w:rsidRDefault="00000000">
      <w:pPr>
        <w:numPr>
          <w:ilvl w:val="0"/>
          <w:numId w:val="16"/>
        </w:numPr>
        <w:spacing w:after="0"/>
        <w:ind w:left="450" w:hanging="450"/>
      </w:pPr>
      <w:r>
        <w:t xml:space="preserve">Le RRDS Canada attend la réponse de l’Université Simon Fraser concernant les premières étapes de sa candidature au programme 2027 de la Fondation canadienne pour l’innovation. La proposition porte sur les données du dossier médical électronique (DME) en soins primaires et une solution technique connexe qui comprend un élément d’analyse fédérée. Nous tirons parti du réseau du RRDS Canada pour mobiliser les centres de soins primaires partout au Canada. </w:t>
      </w:r>
    </w:p>
    <w:p w14:paraId="16F16BA5" w14:textId="77777777" w:rsidR="009D555A" w:rsidRDefault="00000000">
      <w:pPr>
        <w:numPr>
          <w:ilvl w:val="0"/>
          <w:numId w:val="16"/>
        </w:numPr>
        <w:spacing w:after="0"/>
        <w:ind w:left="450" w:hanging="450"/>
      </w:pPr>
      <w:r>
        <w:t xml:space="preserve">Le RRDS Canada collabore avec divers organismes en vue de leurs prochaines demandes de financement, notamment celle de l’Alliance de recherche numérique du Canada au Programme d’infrastructure de calcul souveraine pour l’IA d’Innovation, Science et Développement économique Canada (ISDE), et l’appel de projets ciblés de </w:t>
      </w:r>
      <w:proofErr w:type="spellStart"/>
      <w:r>
        <w:t>CanReview</w:t>
      </w:r>
      <w:proofErr w:type="spellEnd"/>
      <w:r>
        <w:t xml:space="preserve">, financé par les IRSC, concernant la création d’une initiative pancanadienne d’évaluation éthique unique de la recherche. </w:t>
      </w:r>
    </w:p>
    <w:p w14:paraId="46BB5735" w14:textId="77777777" w:rsidR="009D555A" w:rsidRDefault="00000000">
      <w:pPr>
        <w:pStyle w:val="Heading2"/>
        <w:spacing w:before="200"/>
      </w:pPr>
      <w:bookmarkStart w:id="35" w:name="_heading=h.gfdq5qqrfj8g" w:colFirst="0" w:colLast="0"/>
      <w:bookmarkEnd w:id="35"/>
      <w:r>
        <w:lastRenderedPageBreak/>
        <w:t>Facteur de réussite : un écosystème législatif et stratégique favorable et engagé et une communauté d’utilisateurs de données active</w:t>
      </w:r>
    </w:p>
    <w:p w14:paraId="1C0D63EC" w14:textId="77777777" w:rsidR="009D555A" w:rsidRDefault="00000000">
      <w:pPr>
        <w:pStyle w:val="Heading3"/>
        <w:spacing w:before="200" w:after="200" w:line="360" w:lineRule="auto"/>
      </w:pPr>
      <w:bookmarkStart w:id="36" w:name="_heading=h.plolhbfemota" w:colFirst="0" w:colLast="0"/>
      <w:bookmarkEnd w:id="36"/>
      <w:r>
        <w:t xml:space="preserve">Mémoire sur le projet de loi S-5 </w:t>
      </w:r>
    </w:p>
    <w:p w14:paraId="48BF1C24" w14:textId="77777777" w:rsidR="009D555A" w:rsidRDefault="00000000">
      <w:pPr>
        <w:numPr>
          <w:ilvl w:val="0"/>
          <w:numId w:val="14"/>
        </w:numPr>
        <w:spacing w:after="0"/>
      </w:pPr>
      <w:r>
        <w:t xml:space="preserve">L’Alliance pour la recherche sur les données de santé a rédigé un mémoire intitulé </w:t>
      </w:r>
      <w:r>
        <w:rPr>
          <w:i/>
          <w:iCs/>
        </w:rPr>
        <w:t>Projet de loi S-5 :</w:t>
      </w:r>
      <w:r>
        <w:t xml:space="preserve"> </w:t>
      </w:r>
      <w:r>
        <w:rPr>
          <w:i/>
          <w:iCs/>
        </w:rPr>
        <w:t>Loi sur les soins connectés pour les Canadiens : Garantir l’interopérabilité afin de permettre une utilisation légale et autorisée des données de santé dans un cadre de gouvernance approprié</w:t>
      </w:r>
      <w:r>
        <w:t xml:space="preserve"> et l’a présenté au Comité sénatorial permanent des affaires sociales, des sciences et de la technologie (SOCI). Dans son mémoire, l’Alliance précise qu’elle juge le projet de loi S-5 essentiel pour s’attaquer à la fragmentation des systèmes et à l’enfermement propriétaire dans l’écosystème des données de santé au Canada. Elle recommande à Santé Canada de préciser que : </w:t>
      </w:r>
    </w:p>
    <w:p w14:paraId="66A76EE3" w14:textId="77777777" w:rsidR="009D555A" w:rsidRDefault="00000000">
      <w:pPr>
        <w:numPr>
          <w:ilvl w:val="1"/>
          <w:numId w:val="14"/>
        </w:numPr>
        <w:spacing w:after="0"/>
      </w:pPr>
      <w:r>
        <w:t>Lorsqu’un dépositaire ou un fiduciaire de renseignements sur la santé dispose d’une autorité légale et donne son accord explicite, et que la législation applicable en matière de protection des renseignements personnels autorise l’activité visée, les fournisseurs de technologies de l’information en santé ne doivent pas entraver l’accès, l’extraction, l’échange ou l’utilisation des données, que ce soit par des moyens techniques, contractuels, financiers ou opérationnels.</w:t>
      </w:r>
    </w:p>
    <w:p w14:paraId="4055E430" w14:textId="77777777" w:rsidR="009D555A" w:rsidRDefault="00000000">
      <w:pPr>
        <w:numPr>
          <w:ilvl w:val="1"/>
          <w:numId w:val="14"/>
        </w:numPr>
        <w:spacing w:after="0"/>
      </w:pPr>
      <w:r>
        <w:t>Le terme « utilisation » inclut les fins légales approuvées dans le cadre des mécanismes de gouvernance, telles que la recherche, l’évaluation des systèmes, l’amélioration de la qualité et le développement de l’IA.</w:t>
      </w:r>
    </w:p>
    <w:p w14:paraId="3A1FEA97" w14:textId="77777777" w:rsidR="009D555A" w:rsidRDefault="00000000">
      <w:pPr>
        <w:numPr>
          <w:ilvl w:val="1"/>
          <w:numId w:val="14"/>
        </w:numPr>
        <w:spacing w:after="0"/>
      </w:pPr>
      <w:r>
        <w:t>L’interopérabilité exige un accès complet aux données, exploitable et conforme aux normes reconnues, et non des interfaces partielles ou limitées par les fournisseurs.</w:t>
      </w:r>
    </w:p>
    <w:p w14:paraId="757784EF" w14:textId="77777777" w:rsidR="009D555A" w:rsidRDefault="00000000">
      <w:pPr>
        <w:numPr>
          <w:ilvl w:val="1"/>
          <w:numId w:val="14"/>
        </w:numPr>
        <w:spacing w:after="0"/>
      </w:pPr>
      <w:r>
        <w:t>Les plateformes de données encadrées (p. ex. les environnements sécurisés de recherche et d’analyse) relèvent du champ d’application des « technologies de l’information en matière de santé ».</w:t>
      </w:r>
    </w:p>
    <w:p w14:paraId="0533BC1D" w14:textId="77777777" w:rsidR="009D555A" w:rsidRDefault="00000000">
      <w:pPr>
        <w:numPr>
          <w:ilvl w:val="1"/>
          <w:numId w:val="14"/>
        </w:numPr>
        <w:spacing w:after="0"/>
      </w:pPr>
      <w:r>
        <w:t>Les interfaces d’analyse ou d’IA contrôlées par les fournisseurs ne doivent pas se substituer à un accès aux données indépendant et autorisé par le dépositaire.</w:t>
      </w:r>
    </w:p>
    <w:p w14:paraId="2CC45E9B" w14:textId="77777777" w:rsidR="009D555A" w:rsidRDefault="009D555A">
      <w:pPr>
        <w:spacing w:after="200"/>
        <w:ind w:left="720"/>
      </w:pPr>
    </w:p>
    <w:p w14:paraId="046E3163" w14:textId="77777777" w:rsidR="009D555A" w:rsidRDefault="009D555A">
      <w:pPr>
        <w:spacing w:after="0"/>
      </w:pPr>
    </w:p>
    <w:p w14:paraId="1269449C" w14:textId="77777777" w:rsidR="009D555A" w:rsidRDefault="009D555A">
      <w:pPr>
        <w:spacing w:after="200"/>
      </w:pPr>
    </w:p>
    <w:p w14:paraId="6B79DD80" w14:textId="77777777" w:rsidR="009D555A" w:rsidRDefault="009D555A">
      <w:pPr>
        <w:spacing w:after="200"/>
        <w:rPr>
          <w:sz w:val="22"/>
          <w:szCs w:val="22"/>
        </w:rPr>
      </w:pPr>
    </w:p>
    <w:sectPr w:rsidR="009D555A">
      <w:footerReference w:type="default" r:id="rId26"/>
      <w:pgSz w:w="12240" w:h="15840"/>
      <w:pgMar w:top="1440" w:right="1080" w:bottom="1440" w:left="1080" w:header="0" w:footer="964" w:gutter="0"/>
      <w:pgNumType w:start="4"/>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4E5732" w14:textId="77777777" w:rsidR="00D07C88" w:rsidRDefault="00D07C88">
      <w:pPr>
        <w:spacing w:after="0" w:line="240" w:lineRule="auto"/>
      </w:pPr>
      <w:r>
        <w:separator/>
      </w:r>
    </w:p>
  </w:endnote>
  <w:endnote w:type="continuationSeparator" w:id="0">
    <w:p w14:paraId="13CB9B3B" w14:textId="77777777" w:rsidR="00D07C88" w:rsidRDefault="00D07C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embedRegular r:id="rId1" w:fontKey="{EA941007-D02E-4BEE-A663-021C485DE54A}"/>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Lato">
    <w:charset w:val="00"/>
    <w:family w:val="swiss"/>
    <w:pitch w:val="variable"/>
    <w:sig w:usb0="E10002FF" w:usb1="5000ECFF" w:usb2="00000021" w:usb3="00000000" w:csb0="0000019F" w:csb1="00000000"/>
    <w:embedRegular r:id="rId2" w:fontKey="{2E1555FC-F03E-4650-B10B-09535D55DDCC}"/>
    <w:embedBold r:id="rId3" w:fontKey="{0D318B24-9780-47D5-876B-17F6AF937351}"/>
  </w:font>
  <w:font w:name="Calibri">
    <w:panose1 w:val="020F0502020204030204"/>
    <w:charset w:val="00"/>
    <w:family w:val="swiss"/>
    <w:pitch w:val="variable"/>
    <w:sig w:usb0="E4002EFF" w:usb1="C200247B" w:usb2="00000009" w:usb3="00000000" w:csb0="000001FF" w:csb1="00000000"/>
    <w:embedRegular r:id="rId4" w:fontKey="{B9A29FDE-A686-4AB9-9FE4-B8C58683A391}"/>
  </w:font>
  <w:font w:name="Cambria">
    <w:panose1 w:val="02040503050406030204"/>
    <w:charset w:val="00"/>
    <w:family w:val="roman"/>
    <w:pitch w:val="variable"/>
    <w:sig w:usb0="E00006FF" w:usb1="420024FF" w:usb2="02000000" w:usb3="00000000" w:csb0="0000019F" w:csb1="00000000"/>
    <w:embedRegular r:id="rId5" w:fontKey="{4A07426E-0000-4077-9240-3E7C9BD0555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27614B" w14:textId="77777777" w:rsidR="009D555A"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28CC6B9D" w14:textId="77777777" w:rsidR="009D555A" w:rsidRDefault="009D555A">
    <w:pPr>
      <w:pBdr>
        <w:top w:val="nil"/>
        <w:left w:val="nil"/>
        <w:bottom w:val="nil"/>
        <w:right w:val="nil"/>
        <w:between w:val="nil"/>
      </w:pBdr>
      <w:tabs>
        <w:tab w:val="center" w:pos="4680"/>
        <w:tab w:val="right" w:pos="9360"/>
      </w:tabs>
      <w:spacing w:after="0" w:line="240" w:lineRule="auto"/>
      <w:ind w:right="360" w:firstLine="360"/>
      <w:rPr>
        <w:color w:val="000000"/>
      </w:rPr>
    </w:pPr>
  </w:p>
  <w:p w14:paraId="4549390E" w14:textId="77777777" w:rsidR="009D555A" w:rsidRDefault="009D555A"/>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986FB3" w14:textId="77777777" w:rsidR="009D555A" w:rsidRDefault="00000000">
    <w:pPr>
      <w:ind w:right="360" w:firstLine="360"/>
    </w:pPr>
    <w:r>
      <w:rPr>
        <w:noProof/>
      </w:rPr>
      <w:drawing>
        <wp:anchor distT="0" distB="0" distL="114300" distR="114300" simplePos="0" relativeHeight="251658240" behindDoc="0" locked="0" layoutInCell="1" hidden="0" allowOverlap="1" wp14:anchorId="2C7C727F" wp14:editId="3D413DAA">
          <wp:simplePos x="0" y="0"/>
          <wp:positionH relativeFrom="column">
            <wp:posOffset>-98048</wp:posOffset>
          </wp:positionH>
          <wp:positionV relativeFrom="paragraph">
            <wp:posOffset>58418</wp:posOffset>
          </wp:positionV>
          <wp:extent cx="3164840" cy="822960"/>
          <wp:effectExtent l="0" t="0" r="0" b="0"/>
          <wp:wrapSquare wrapText="bothSides" distT="0" distB="0" distL="114300" distR="114300"/>
          <wp:docPr id="3" name="image2.png" descr="HDRN Canada Logo"/>
          <wp:cNvGraphicFramePr/>
          <a:graphic xmlns:a="http://schemas.openxmlformats.org/drawingml/2006/main">
            <a:graphicData uri="http://schemas.openxmlformats.org/drawingml/2006/picture">
              <pic:pic xmlns:pic="http://schemas.openxmlformats.org/drawingml/2006/picture">
                <pic:nvPicPr>
                  <pic:cNvPr id="0" name="image2.png" descr="HDRN Canada Logo"/>
                  <pic:cNvPicPr preferRelativeResize="0"/>
                </pic:nvPicPr>
                <pic:blipFill>
                  <a:blip r:embed="rId1"/>
                  <a:srcRect l="5505" r="3234"/>
                  <a:stretch>
                    <a:fillRect/>
                  </a:stretch>
                </pic:blipFill>
                <pic:spPr>
                  <a:xfrm>
                    <a:off x="0" y="0"/>
                    <a:ext cx="3164840" cy="822960"/>
                  </a:xfrm>
                  <a:prstGeom prst="rect">
                    <a:avLst/>
                  </a:prstGeom>
                  <a:ln/>
                </pic:spPr>
              </pic:pic>
            </a:graphicData>
          </a:graphic>
        </wp:anchor>
      </w:drawing>
    </w:r>
  </w:p>
  <w:p w14:paraId="6401F886" w14:textId="77777777" w:rsidR="009D555A"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3674D7">
      <w:rPr>
        <w:noProof/>
        <w:color w:val="000000"/>
      </w:rPr>
      <w:t>2</w:t>
    </w:r>
    <w:r>
      <w:rPr>
        <w:color w:val="000000"/>
      </w:rPr>
      <w:fldChar w:fldCharType="end"/>
    </w:r>
  </w:p>
  <w:p w14:paraId="3AA805FF" w14:textId="77777777" w:rsidR="009D555A" w:rsidRDefault="009D555A"/>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DFF710" w14:textId="77777777" w:rsidR="009D555A" w:rsidRDefault="00000000">
    <w:pPr>
      <w:pBdr>
        <w:top w:val="nil"/>
        <w:left w:val="nil"/>
        <w:bottom w:val="nil"/>
        <w:right w:val="nil"/>
        <w:between w:val="nil"/>
      </w:pBdr>
      <w:tabs>
        <w:tab w:val="center" w:pos="4680"/>
        <w:tab w:val="right" w:pos="9360"/>
      </w:tabs>
      <w:spacing w:after="0" w:line="240" w:lineRule="auto"/>
      <w:rPr>
        <w:color w:val="000000"/>
      </w:rPr>
    </w:pPr>
    <w:r>
      <w:rPr>
        <w:noProof/>
      </w:rPr>
      <mc:AlternateContent>
        <mc:Choice Requires="wpg">
          <w:drawing>
            <wp:anchor distT="0" distB="0" distL="0" distR="0" simplePos="0" relativeHeight="251659264" behindDoc="1" locked="0" layoutInCell="1" hidden="0" allowOverlap="1" wp14:anchorId="0AE78032" wp14:editId="6E2DC50B">
              <wp:simplePos x="0" y="0"/>
              <wp:positionH relativeFrom="column">
                <wp:posOffset>-2006594</wp:posOffset>
              </wp:positionH>
              <wp:positionV relativeFrom="paragraph">
                <wp:posOffset>-241296</wp:posOffset>
              </wp:positionV>
              <wp:extent cx="9334500" cy="3385185"/>
              <wp:effectExtent l="0" t="0" r="0" b="0"/>
              <wp:wrapNone/>
              <wp:docPr id="1" name="Group 1"/>
              <wp:cNvGraphicFramePr/>
              <a:graphic xmlns:a="http://schemas.openxmlformats.org/drawingml/2006/main">
                <a:graphicData uri="http://schemas.microsoft.com/office/word/2010/wordprocessingGroup">
                  <wpg:wgp>
                    <wpg:cNvGrpSpPr/>
                    <wpg:grpSpPr>
                      <a:xfrm>
                        <a:off x="0" y="0"/>
                        <a:ext cx="9334500" cy="3385185"/>
                        <a:chOff x="678750" y="2087400"/>
                        <a:chExt cx="9334500" cy="3385200"/>
                      </a:xfrm>
                    </wpg:grpSpPr>
                    <wpg:grpSp>
                      <wpg:cNvPr id="1218565978" name="Group 1218565978"/>
                      <wpg:cNvGrpSpPr/>
                      <wpg:grpSpPr>
                        <a:xfrm>
                          <a:off x="678750" y="2087408"/>
                          <a:ext cx="9334500" cy="3385185"/>
                          <a:chOff x="678750" y="2087400"/>
                          <a:chExt cx="9334500" cy="3385200"/>
                        </a:xfrm>
                      </wpg:grpSpPr>
                      <wps:wsp>
                        <wps:cNvPr id="535865486" name="Rectangle 535865486"/>
                        <wps:cNvSpPr/>
                        <wps:spPr>
                          <a:xfrm>
                            <a:off x="678750" y="2087400"/>
                            <a:ext cx="9334500" cy="3385200"/>
                          </a:xfrm>
                          <a:prstGeom prst="rect">
                            <a:avLst/>
                          </a:prstGeom>
                          <a:noFill/>
                          <a:ln>
                            <a:noFill/>
                          </a:ln>
                        </wps:spPr>
                        <wps:txbx>
                          <w:txbxContent>
                            <w:p w14:paraId="7E9E44B1" w14:textId="77777777" w:rsidR="009D555A" w:rsidRDefault="009D555A">
                              <w:pPr>
                                <w:spacing w:after="0" w:line="240" w:lineRule="auto"/>
                                <w:textDirection w:val="btLr"/>
                              </w:pPr>
                            </w:p>
                          </w:txbxContent>
                        </wps:txbx>
                        <wps:bodyPr spcFirstLastPara="1" wrap="square" lIns="91425" tIns="91425" rIns="91425" bIns="91425" anchor="ctr" anchorCtr="0">
                          <a:noAutofit/>
                        </wps:bodyPr>
                      </wps:wsp>
                      <wpg:grpSp>
                        <wpg:cNvPr id="2041968547" name="Group 2041968547"/>
                        <wpg:cNvGrpSpPr/>
                        <wpg:grpSpPr>
                          <a:xfrm>
                            <a:off x="678750" y="2087408"/>
                            <a:ext cx="9334500" cy="3385185"/>
                            <a:chOff x="678750" y="2087400"/>
                            <a:chExt cx="9334500" cy="3385200"/>
                          </a:xfrm>
                        </wpg:grpSpPr>
                        <wps:wsp>
                          <wps:cNvPr id="1719929523" name="Rectangle 1719929523"/>
                          <wps:cNvSpPr/>
                          <wps:spPr>
                            <a:xfrm>
                              <a:off x="678750" y="2087400"/>
                              <a:ext cx="9334500" cy="3385200"/>
                            </a:xfrm>
                            <a:prstGeom prst="rect">
                              <a:avLst/>
                            </a:prstGeom>
                            <a:noFill/>
                            <a:ln>
                              <a:noFill/>
                            </a:ln>
                          </wps:spPr>
                          <wps:txbx>
                            <w:txbxContent>
                              <w:p w14:paraId="5367492A" w14:textId="77777777" w:rsidR="009D555A" w:rsidRDefault="009D555A">
                                <w:pPr>
                                  <w:spacing w:after="0" w:line="240" w:lineRule="auto"/>
                                  <w:textDirection w:val="btLr"/>
                                </w:pPr>
                              </w:p>
                            </w:txbxContent>
                          </wps:txbx>
                          <wps:bodyPr spcFirstLastPara="1" wrap="square" lIns="91425" tIns="91425" rIns="91425" bIns="91425" anchor="ctr" anchorCtr="0">
                            <a:noAutofit/>
                          </wps:bodyPr>
                        </wps:wsp>
                        <wpg:grpSp>
                          <wpg:cNvPr id="1092970708" name="Group 1092970708"/>
                          <wpg:cNvGrpSpPr/>
                          <wpg:grpSpPr>
                            <a:xfrm>
                              <a:off x="678750" y="2087408"/>
                              <a:ext cx="9334500" cy="3385185"/>
                              <a:chOff x="678750" y="2087400"/>
                              <a:chExt cx="9334500" cy="3385200"/>
                            </a:xfrm>
                          </wpg:grpSpPr>
                          <wps:wsp>
                            <wps:cNvPr id="703084468" name="Rectangle 703084468"/>
                            <wps:cNvSpPr/>
                            <wps:spPr>
                              <a:xfrm>
                                <a:off x="678750" y="2087400"/>
                                <a:ext cx="9334500" cy="3385200"/>
                              </a:xfrm>
                              <a:prstGeom prst="rect">
                                <a:avLst/>
                              </a:prstGeom>
                              <a:noFill/>
                              <a:ln>
                                <a:noFill/>
                              </a:ln>
                            </wps:spPr>
                            <wps:txbx>
                              <w:txbxContent>
                                <w:p w14:paraId="7C0A780E" w14:textId="77777777" w:rsidR="009D555A" w:rsidRDefault="009D555A">
                                  <w:pPr>
                                    <w:spacing w:after="0" w:line="240" w:lineRule="auto"/>
                                    <w:textDirection w:val="btLr"/>
                                  </w:pPr>
                                </w:p>
                              </w:txbxContent>
                            </wps:txbx>
                            <wps:bodyPr spcFirstLastPara="1" wrap="square" lIns="91425" tIns="91425" rIns="91425" bIns="91425" anchor="ctr" anchorCtr="0">
                              <a:noAutofit/>
                            </wps:bodyPr>
                          </wps:wsp>
                          <wpg:grpSp>
                            <wpg:cNvPr id="1192392402" name="Group 1192392402"/>
                            <wpg:cNvGrpSpPr/>
                            <wpg:grpSpPr>
                              <a:xfrm>
                                <a:off x="678750" y="2087408"/>
                                <a:ext cx="9334500" cy="3385185"/>
                                <a:chOff x="678750" y="2087400"/>
                                <a:chExt cx="9334500" cy="3385200"/>
                              </a:xfrm>
                            </wpg:grpSpPr>
                            <wps:wsp>
                              <wps:cNvPr id="247999310" name="Rectangle 247999310"/>
                              <wps:cNvSpPr/>
                              <wps:spPr>
                                <a:xfrm>
                                  <a:off x="678750" y="2087400"/>
                                  <a:ext cx="9334500" cy="3385200"/>
                                </a:xfrm>
                                <a:prstGeom prst="rect">
                                  <a:avLst/>
                                </a:prstGeom>
                                <a:noFill/>
                                <a:ln>
                                  <a:noFill/>
                                </a:ln>
                              </wps:spPr>
                              <wps:txbx>
                                <w:txbxContent>
                                  <w:p w14:paraId="509C3DC6" w14:textId="77777777" w:rsidR="009D555A" w:rsidRDefault="009D555A">
                                    <w:pPr>
                                      <w:spacing w:after="0" w:line="240" w:lineRule="auto"/>
                                      <w:textDirection w:val="btLr"/>
                                    </w:pPr>
                                  </w:p>
                                </w:txbxContent>
                              </wps:txbx>
                              <wps:bodyPr spcFirstLastPara="1" wrap="square" lIns="91425" tIns="91425" rIns="91425" bIns="91425" anchor="ctr" anchorCtr="0">
                                <a:noAutofit/>
                              </wps:bodyPr>
                            </wps:wsp>
                            <wpg:grpSp>
                              <wpg:cNvPr id="766220663" name="Group 766220663"/>
                              <wpg:cNvGrpSpPr/>
                              <wpg:grpSpPr>
                                <a:xfrm>
                                  <a:off x="678750" y="2087408"/>
                                  <a:ext cx="9334500" cy="3385185"/>
                                  <a:chOff x="678750" y="2087400"/>
                                  <a:chExt cx="9334500" cy="3385200"/>
                                </a:xfrm>
                              </wpg:grpSpPr>
                              <wps:wsp>
                                <wps:cNvPr id="564424712" name="Rectangle 564424712"/>
                                <wps:cNvSpPr/>
                                <wps:spPr>
                                  <a:xfrm>
                                    <a:off x="678750" y="2087400"/>
                                    <a:ext cx="9334500" cy="3385200"/>
                                  </a:xfrm>
                                  <a:prstGeom prst="rect">
                                    <a:avLst/>
                                  </a:prstGeom>
                                  <a:noFill/>
                                  <a:ln>
                                    <a:noFill/>
                                  </a:ln>
                                </wps:spPr>
                                <wps:txbx>
                                  <w:txbxContent>
                                    <w:p w14:paraId="725712FB" w14:textId="77777777" w:rsidR="009D555A" w:rsidRDefault="009D555A">
                                      <w:pPr>
                                        <w:spacing w:after="0" w:line="240" w:lineRule="auto"/>
                                        <w:textDirection w:val="btLr"/>
                                      </w:pPr>
                                    </w:p>
                                  </w:txbxContent>
                                </wps:txbx>
                                <wps:bodyPr spcFirstLastPara="1" wrap="square" lIns="91425" tIns="91425" rIns="91425" bIns="91425" anchor="ctr" anchorCtr="0">
                                  <a:noAutofit/>
                                </wps:bodyPr>
                              </wps:wsp>
                              <wpg:grpSp>
                                <wpg:cNvPr id="1340952744" name="Group 1340952744"/>
                                <wpg:cNvGrpSpPr/>
                                <wpg:grpSpPr>
                                  <a:xfrm>
                                    <a:off x="678750" y="2087408"/>
                                    <a:ext cx="9334500" cy="3385185"/>
                                    <a:chOff x="678750" y="2087400"/>
                                    <a:chExt cx="9334500" cy="3385200"/>
                                  </a:xfrm>
                                </wpg:grpSpPr>
                                <wps:wsp>
                                  <wps:cNvPr id="563458339" name="Rectangle 563458339"/>
                                  <wps:cNvSpPr/>
                                  <wps:spPr>
                                    <a:xfrm>
                                      <a:off x="678750" y="2087400"/>
                                      <a:ext cx="9334500" cy="3385200"/>
                                    </a:xfrm>
                                    <a:prstGeom prst="rect">
                                      <a:avLst/>
                                    </a:prstGeom>
                                    <a:noFill/>
                                    <a:ln>
                                      <a:noFill/>
                                    </a:ln>
                                  </wps:spPr>
                                  <wps:txbx>
                                    <w:txbxContent>
                                      <w:p w14:paraId="7D7F269B" w14:textId="77777777" w:rsidR="009D555A" w:rsidRDefault="009D555A">
                                        <w:pPr>
                                          <w:spacing w:after="0" w:line="240" w:lineRule="auto"/>
                                          <w:textDirection w:val="btLr"/>
                                        </w:pPr>
                                      </w:p>
                                    </w:txbxContent>
                                  </wps:txbx>
                                  <wps:bodyPr spcFirstLastPara="1" wrap="square" lIns="91425" tIns="91425" rIns="91425" bIns="91425" anchor="ctr" anchorCtr="0">
                                    <a:noAutofit/>
                                  </wps:bodyPr>
                                </wps:wsp>
                                <wpg:grpSp>
                                  <wpg:cNvPr id="554473484" name="Group 554473484"/>
                                  <wpg:cNvGrpSpPr/>
                                  <wpg:grpSpPr>
                                    <a:xfrm>
                                      <a:off x="678750" y="2087408"/>
                                      <a:ext cx="9334500" cy="3385185"/>
                                      <a:chOff x="678750" y="2087400"/>
                                      <a:chExt cx="9334500" cy="3385200"/>
                                    </a:xfrm>
                                  </wpg:grpSpPr>
                                  <wps:wsp>
                                    <wps:cNvPr id="1578161830" name="Rectangle 1578161830"/>
                                    <wps:cNvSpPr/>
                                    <wps:spPr>
                                      <a:xfrm>
                                        <a:off x="678750" y="2087400"/>
                                        <a:ext cx="9334500" cy="3385200"/>
                                      </a:xfrm>
                                      <a:prstGeom prst="rect">
                                        <a:avLst/>
                                      </a:prstGeom>
                                      <a:noFill/>
                                      <a:ln>
                                        <a:noFill/>
                                      </a:ln>
                                    </wps:spPr>
                                    <wps:txbx>
                                      <w:txbxContent>
                                        <w:p w14:paraId="19C57B8B" w14:textId="77777777" w:rsidR="009D555A" w:rsidRDefault="009D555A">
                                          <w:pPr>
                                            <w:spacing w:after="0" w:line="240" w:lineRule="auto"/>
                                            <w:textDirection w:val="btLr"/>
                                          </w:pPr>
                                        </w:p>
                                      </w:txbxContent>
                                    </wps:txbx>
                                    <wps:bodyPr spcFirstLastPara="1" wrap="square" lIns="91425" tIns="91425" rIns="91425" bIns="91425" anchor="ctr" anchorCtr="0">
                                      <a:noAutofit/>
                                    </wps:bodyPr>
                                  </wps:wsp>
                                  <wpg:grpSp>
                                    <wpg:cNvPr id="423681166" name="Group 423681166"/>
                                    <wpg:cNvGrpSpPr/>
                                    <wpg:grpSpPr>
                                      <a:xfrm>
                                        <a:off x="678750" y="2087408"/>
                                        <a:ext cx="9334500" cy="3385185"/>
                                        <a:chOff x="678750" y="2087400"/>
                                        <a:chExt cx="9334500" cy="3385200"/>
                                      </a:xfrm>
                                    </wpg:grpSpPr>
                                    <wps:wsp>
                                      <wps:cNvPr id="1319155064" name="Rectangle 1319155064"/>
                                      <wps:cNvSpPr/>
                                      <wps:spPr>
                                        <a:xfrm>
                                          <a:off x="678750" y="2087400"/>
                                          <a:ext cx="9334500" cy="3385200"/>
                                        </a:xfrm>
                                        <a:prstGeom prst="rect">
                                          <a:avLst/>
                                        </a:prstGeom>
                                        <a:noFill/>
                                        <a:ln>
                                          <a:noFill/>
                                        </a:ln>
                                      </wps:spPr>
                                      <wps:txbx>
                                        <w:txbxContent>
                                          <w:p w14:paraId="3FEA41BD" w14:textId="77777777" w:rsidR="009D555A" w:rsidRDefault="009D555A">
                                            <w:pPr>
                                              <w:spacing w:after="0" w:line="240" w:lineRule="auto"/>
                                              <w:textDirection w:val="btLr"/>
                                            </w:pPr>
                                          </w:p>
                                        </w:txbxContent>
                                      </wps:txbx>
                                      <wps:bodyPr spcFirstLastPara="1" wrap="square" lIns="91425" tIns="91425" rIns="91425" bIns="91425" anchor="ctr" anchorCtr="0">
                                        <a:noAutofit/>
                                      </wps:bodyPr>
                                    </wps:wsp>
                                    <wpg:grpSp>
                                      <wpg:cNvPr id="1431411939" name="Group 1431411939"/>
                                      <wpg:cNvGrpSpPr/>
                                      <wpg:grpSpPr>
                                        <a:xfrm>
                                          <a:off x="678750" y="2087408"/>
                                          <a:ext cx="9334500" cy="3385185"/>
                                          <a:chOff x="678750" y="2087400"/>
                                          <a:chExt cx="9334500" cy="3385200"/>
                                        </a:xfrm>
                                      </wpg:grpSpPr>
                                      <wps:wsp>
                                        <wps:cNvPr id="450390127" name="Rectangle 450390127"/>
                                        <wps:cNvSpPr/>
                                        <wps:spPr>
                                          <a:xfrm>
                                            <a:off x="678750" y="2087400"/>
                                            <a:ext cx="9334500" cy="3385200"/>
                                          </a:xfrm>
                                          <a:prstGeom prst="rect">
                                            <a:avLst/>
                                          </a:prstGeom>
                                          <a:noFill/>
                                          <a:ln>
                                            <a:noFill/>
                                          </a:ln>
                                        </wps:spPr>
                                        <wps:txbx>
                                          <w:txbxContent>
                                            <w:p w14:paraId="340E761D" w14:textId="77777777" w:rsidR="009D555A" w:rsidRDefault="009D555A">
                                              <w:pPr>
                                                <w:spacing w:after="0" w:line="240" w:lineRule="auto"/>
                                                <w:textDirection w:val="btLr"/>
                                              </w:pPr>
                                            </w:p>
                                          </w:txbxContent>
                                        </wps:txbx>
                                        <wps:bodyPr spcFirstLastPara="1" wrap="square" lIns="91425" tIns="91425" rIns="91425" bIns="91425" anchor="ctr" anchorCtr="0">
                                          <a:noAutofit/>
                                        </wps:bodyPr>
                                      </wps:wsp>
                                      <wpg:grpSp>
                                        <wpg:cNvPr id="652045741" name="Group 652045741"/>
                                        <wpg:cNvGrpSpPr/>
                                        <wpg:grpSpPr>
                                          <a:xfrm>
                                            <a:off x="678750" y="2087408"/>
                                            <a:ext cx="9334500" cy="3385185"/>
                                            <a:chOff x="678750" y="2087400"/>
                                            <a:chExt cx="9334500" cy="3385200"/>
                                          </a:xfrm>
                                        </wpg:grpSpPr>
                                        <wps:wsp>
                                          <wps:cNvPr id="44912583" name="Rectangle 44912583"/>
                                          <wps:cNvSpPr/>
                                          <wps:spPr>
                                            <a:xfrm>
                                              <a:off x="678750" y="2087400"/>
                                              <a:ext cx="9334500" cy="3385200"/>
                                            </a:xfrm>
                                            <a:prstGeom prst="rect">
                                              <a:avLst/>
                                            </a:prstGeom>
                                            <a:noFill/>
                                            <a:ln>
                                              <a:noFill/>
                                            </a:ln>
                                          </wps:spPr>
                                          <wps:txbx>
                                            <w:txbxContent>
                                              <w:p w14:paraId="1498208A" w14:textId="77777777" w:rsidR="009D555A" w:rsidRDefault="009D555A">
                                                <w:pPr>
                                                  <w:spacing w:after="0" w:line="240" w:lineRule="auto"/>
                                                  <w:textDirection w:val="btLr"/>
                                                </w:pPr>
                                              </w:p>
                                            </w:txbxContent>
                                          </wps:txbx>
                                          <wps:bodyPr spcFirstLastPara="1" wrap="square" lIns="91425" tIns="91425" rIns="91425" bIns="91425" anchor="ctr" anchorCtr="0">
                                            <a:noAutofit/>
                                          </wps:bodyPr>
                                        </wps:wsp>
                                        <wpg:grpSp>
                                          <wpg:cNvPr id="1866425901" name="Group 1866425901"/>
                                          <wpg:cNvGrpSpPr/>
                                          <wpg:grpSpPr>
                                            <a:xfrm>
                                              <a:off x="678750" y="2087408"/>
                                              <a:ext cx="9334500" cy="3385185"/>
                                              <a:chOff x="678750" y="2087400"/>
                                              <a:chExt cx="9334500" cy="3385200"/>
                                            </a:xfrm>
                                          </wpg:grpSpPr>
                                          <wps:wsp>
                                            <wps:cNvPr id="1293040901" name="Rectangle 1293040901"/>
                                            <wps:cNvSpPr/>
                                            <wps:spPr>
                                              <a:xfrm>
                                                <a:off x="678750" y="2087400"/>
                                                <a:ext cx="9334500" cy="3385200"/>
                                              </a:xfrm>
                                              <a:prstGeom prst="rect">
                                                <a:avLst/>
                                              </a:prstGeom>
                                              <a:noFill/>
                                              <a:ln>
                                                <a:noFill/>
                                              </a:ln>
                                            </wps:spPr>
                                            <wps:txbx>
                                              <w:txbxContent>
                                                <w:p w14:paraId="498443C3" w14:textId="77777777" w:rsidR="009D555A" w:rsidRDefault="009D555A">
                                                  <w:pPr>
                                                    <w:spacing w:after="0" w:line="240" w:lineRule="auto"/>
                                                    <w:textDirection w:val="btLr"/>
                                                  </w:pPr>
                                                </w:p>
                                              </w:txbxContent>
                                            </wps:txbx>
                                            <wps:bodyPr spcFirstLastPara="1" wrap="square" lIns="91425" tIns="91425" rIns="91425" bIns="91425" anchor="ctr" anchorCtr="0">
                                              <a:noAutofit/>
                                            </wps:bodyPr>
                                          </wps:wsp>
                                          <wpg:grpSp>
                                            <wpg:cNvPr id="2121218672" name="Group 2121218672"/>
                                            <wpg:cNvGrpSpPr/>
                                            <wpg:grpSpPr>
                                              <a:xfrm>
                                                <a:off x="678750" y="2087408"/>
                                                <a:ext cx="9334500" cy="3385185"/>
                                                <a:chOff x="678750" y="2087400"/>
                                                <a:chExt cx="9334500" cy="3385200"/>
                                              </a:xfrm>
                                            </wpg:grpSpPr>
                                            <wps:wsp>
                                              <wps:cNvPr id="116518458" name="Rectangle 116518458"/>
                                              <wps:cNvSpPr/>
                                              <wps:spPr>
                                                <a:xfrm>
                                                  <a:off x="678750" y="2087400"/>
                                                  <a:ext cx="9334500" cy="3385200"/>
                                                </a:xfrm>
                                                <a:prstGeom prst="rect">
                                                  <a:avLst/>
                                                </a:prstGeom>
                                                <a:noFill/>
                                                <a:ln>
                                                  <a:noFill/>
                                                </a:ln>
                                              </wps:spPr>
                                              <wps:txbx>
                                                <w:txbxContent>
                                                  <w:p w14:paraId="1231B7FC" w14:textId="77777777" w:rsidR="009D555A" w:rsidRDefault="009D555A">
                                                    <w:pPr>
                                                      <w:spacing w:after="0" w:line="240" w:lineRule="auto"/>
                                                      <w:textDirection w:val="btLr"/>
                                                    </w:pPr>
                                                  </w:p>
                                                </w:txbxContent>
                                              </wps:txbx>
                                              <wps:bodyPr spcFirstLastPara="1" wrap="square" lIns="91425" tIns="91425" rIns="91425" bIns="91425" anchor="ctr" anchorCtr="0">
                                                <a:noAutofit/>
                                              </wps:bodyPr>
                                            </wps:wsp>
                                            <wpg:grpSp>
                                              <wpg:cNvPr id="99509347" name="Group 99509347"/>
                                              <wpg:cNvGrpSpPr/>
                                              <wpg:grpSpPr>
                                                <a:xfrm>
                                                  <a:off x="678750" y="2087408"/>
                                                  <a:ext cx="9334500" cy="3385185"/>
                                                  <a:chOff x="678750" y="2087400"/>
                                                  <a:chExt cx="9334500" cy="3385200"/>
                                                </a:xfrm>
                                              </wpg:grpSpPr>
                                              <wps:wsp>
                                                <wps:cNvPr id="139584182" name="Rectangle 139584182"/>
                                                <wps:cNvSpPr/>
                                                <wps:spPr>
                                                  <a:xfrm>
                                                    <a:off x="678750" y="2087400"/>
                                                    <a:ext cx="9334500" cy="3385200"/>
                                                  </a:xfrm>
                                                  <a:prstGeom prst="rect">
                                                    <a:avLst/>
                                                  </a:prstGeom>
                                                  <a:noFill/>
                                                  <a:ln>
                                                    <a:noFill/>
                                                  </a:ln>
                                                </wps:spPr>
                                                <wps:txbx>
                                                  <w:txbxContent>
                                                    <w:p w14:paraId="7E75F5C4" w14:textId="77777777" w:rsidR="009D555A" w:rsidRDefault="009D555A">
                                                      <w:pPr>
                                                        <w:spacing w:after="0" w:line="240" w:lineRule="auto"/>
                                                        <w:textDirection w:val="btLr"/>
                                                      </w:pPr>
                                                    </w:p>
                                                  </w:txbxContent>
                                                </wps:txbx>
                                                <wps:bodyPr spcFirstLastPara="1" wrap="square" lIns="91425" tIns="91425" rIns="91425" bIns="91425" anchor="ctr" anchorCtr="0">
                                                  <a:noAutofit/>
                                                </wps:bodyPr>
                                              </wps:wsp>
                                              <wpg:grpSp>
                                                <wpg:cNvPr id="1084645643" name="Group 1084645643"/>
                                                <wpg:cNvGrpSpPr/>
                                                <wpg:grpSpPr>
                                                  <a:xfrm rot="10800000">
                                                    <a:off x="678750" y="2087408"/>
                                                    <a:ext cx="9334500" cy="3385185"/>
                                                    <a:chOff x="-7144" y="-7144"/>
                                                    <a:chExt cx="6005513" cy="1924050"/>
                                                  </a:xfrm>
                                                </wpg:grpSpPr>
                                                <wps:wsp>
                                                  <wps:cNvPr id="1559315364" name="Rectangle 1559315364"/>
                                                  <wps:cNvSpPr/>
                                                  <wps:spPr>
                                                    <a:xfrm>
                                                      <a:off x="-7144" y="-7144"/>
                                                      <a:ext cx="6005500" cy="1924050"/>
                                                    </a:xfrm>
                                                    <a:prstGeom prst="rect">
                                                      <a:avLst/>
                                                    </a:prstGeom>
                                                    <a:noFill/>
                                                    <a:ln>
                                                      <a:noFill/>
                                                    </a:ln>
                                                  </wps:spPr>
                                                  <wps:txbx>
                                                    <w:txbxContent>
                                                      <w:p w14:paraId="6C676690" w14:textId="77777777" w:rsidR="009D555A" w:rsidRDefault="009D555A">
                                                        <w:pPr>
                                                          <w:spacing w:after="0" w:line="240" w:lineRule="auto"/>
                                                          <w:textDirection w:val="btLr"/>
                                                        </w:pPr>
                                                      </w:p>
                                                    </w:txbxContent>
                                                  </wps:txbx>
                                                  <wps:bodyPr spcFirstLastPara="1" wrap="square" lIns="91425" tIns="91425" rIns="91425" bIns="91425" anchor="ctr" anchorCtr="0">
                                                    <a:noAutofit/>
                                                  </wps:bodyPr>
                                                </wps:wsp>
                                                <wps:wsp>
                                                  <wps:cNvPr id="1336617782" name="Freeform: Shape 1336617782"/>
                                                  <wps:cNvSpPr/>
                                                  <wps:spPr>
                                                    <a:xfrm>
                                                      <a:off x="2121694" y="-7144"/>
                                                      <a:ext cx="3876675" cy="1762125"/>
                                                    </a:xfrm>
                                                    <a:custGeom>
                                                      <a:avLst/>
                                                      <a:gdLst/>
                                                      <a:ahLst/>
                                                      <a:cxnLst/>
                                                      <a:rect l="l" t="t" r="r" b="b"/>
                                                      <a:pathLst>
                                                        <a:path w="3876675" h="1762125" extrusionOk="0">
                                                          <a:moveTo>
                                                            <a:pt x="3869531" y="1359694"/>
                                                          </a:moveTo>
                                                          <a:cubicBezTo>
                                                            <a:pt x="3869531" y="1359694"/>
                                                            <a:pt x="3379946" y="1834039"/>
                                                            <a:pt x="2359819" y="1744504"/>
                                                          </a:cubicBezTo>
                                                          <a:cubicBezTo>
                                                            <a:pt x="1339691" y="1654969"/>
                                                            <a:pt x="936784" y="1180624"/>
                                                            <a:pt x="7144" y="1287304"/>
                                                          </a:cubicBezTo>
                                                          <a:lnTo>
                                                            <a:pt x="7144" y="7144"/>
                                                          </a:lnTo>
                                                          <a:lnTo>
                                                            <a:pt x="3869531" y="7144"/>
                                                          </a:lnTo>
                                                          <a:lnTo>
                                                            <a:pt x="3869531" y="1359694"/>
                                                          </a:lnTo>
                                                          <a:close/>
                                                        </a:path>
                                                      </a:pathLst>
                                                    </a:custGeom>
                                                    <a:gradFill>
                                                      <a:gsLst>
                                                        <a:gs pos="0">
                                                          <a:srgbClr val="00404A"/>
                                                        </a:gs>
                                                        <a:gs pos="50000">
                                                          <a:srgbClr val="005D6B"/>
                                                        </a:gs>
                                                        <a:gs pos="100000">
                                                          <a:srgbClr val="007081"/>
                                                        </a:gs>
                                                      </a:gsLst>
                                                      <a:lin ang="8100000" scaled="0"/>
                                                    </a:gradFill>
                                                    <a:ln>
                                                      <a:noFill/>
                                                    </a:ln>
                                                  </wps:spPr>
                                                  <wps:txbx>
                                                    <w:txbxContent>
                                                      <w:p w14:paraId="25DD9703" w14:textId="77777777" w:rsidR="009D555A" w:rsidRDefault="009D555A">
                                                        <w:pPr>
                                                          <w:spacing w:after="0" w:line="240" w:lineRule="auto"/>
                                                          <w:textDirection w:val="btLr"/>
                                                        </w:pPr>
                                                      </w:p>
                                                    </w:txbxContent>
                                                  </wps:txbx>
                                                  <wps:bodyPr spcFirstLastPara="1" wrap="square" lIns="91425" tIns="91425" rIns="91425" bIns="91425" anchor="ctr" anchorCtr="0">
                                                    <a:noAutofit/>
                                                  </wps:bodyPr>
                                                </wps:wsp>
                                                <wps:wsp>
                                                  <wps:cNvPr id="108972629" name="Freeform: Shape 108972629"/>
                                                  <wps:cNvSpPr/>
                                                  <wps:spPr>
                                                    <a:xfrm>
                                                      <a:off x="-7144" y="-7144"/>
                                                      <a:ext cx="6000750" cy="1924050"/>
                                                    </a:xfrm>
                                                    <a:custGeom>
                                                      <a:avLst/>
                                                      <a:gdLst/>
                                                      <a:ahLst/>
                                                      <a:cxnLst/>
                                                      <a:rect l="l" t="t" r="r" b="b"/>
                                                      <a:pathLst>
                                                        <a:path w="6000750" h="1924050" extrusionOk="0">
                                                          <a:moveTo>
                                                            <a:pt x="7144" y="1699736"/>
                                                          </a:moveTo>
                                                          <a:cubicBezTo>
                                                            <a:pt x="7144" y="1699736"/>
                                                            <a:pt x="1410176" y="2317909"/>
                                                            <a:pt x="2934176" y="1484471"/>
                                                          </a:cubicBezTo>
                                                          <a:cubicBezTo>
                                                            <a:pt x="4459129" y="651986"/>
                                                            <a:pt x="5998369" y="893921"/>
                                                            <a:pt x="5998369" y="893921"/>
                                                          </a:cubicBezTo>
                                                          <a:lnTo>
                                                            <a:pt x="5998369" y="7144"/>
                                                          </a:lnTo>
                                                          <a:lnTo>
                                                            <a:pt x="7144" y="7144"/>
                                                          </a:lnTo>
                                                          <a:lnTo>
                                                            <a:pt x="7144" y="1699736"/>
                                                          </a:lnTo>
                                                          <a:close/>
                                                        </a:path>
                                                      </a:pathLst>
                                                    </a:custGeom>
                                                    <a:gradFill>
                                                      <a:gsLst>
                                                        <a:gs pos="0">
                                                          <a:srgbClr val="092442"/>
                                                        </a:gs>
                                                        <a:gs pos="50000">
                                                          <a:srgbClr val="0D3460"/>
                                                        </a:gs>
                                                        <a:gs pos="100000">
                                                          <a:srgbClr val="103F73"/>
                                                        </a:gs>
                                                      </a:gsLst>
                                                      <a:lin ang="16200000" scaled="0"/>
                                                    </a:gradFill>
                                                    <a:ln>
                                                      <a:noFill/>
                                                    </a:ln>
                                                  </wps:spPr>
                                                  <wps:txbx>
                                                    <w:txbxContent>
                                                      <w:p w14:paraId="5F3A86E4" w14:textId="77777777" w:rsidR="009D555A" w:rsidRDefault="009D555A">
                                                        <w:pPr>
                                                          <w:spacing w:after="0" w:line="240" w:lineRule="auto"/>
                                                          <w:textDirection w:val="btLr"/>
                                                        </w:pPr>
                                                      </w:p>
                                                    </w:txbxContent>
                                                  </wps:txbx>
                                                  <wps:bodyPr spcFirstLastPara="1" wrap="square" lIns="91425" tIns="91425" rIns="91425" bIns="91425" anchor="ctr" anchorCtr="0">
                                                    <a:noAutofit/>
                                                  </wps:bodyPr>
                                                </wps:wsp>
                                                <wps:wsp>
                                                  <wps:cNvPr id="1778308670" name="Freeform: Shape 1778308670"/>
                                                  <wps:cNvSpPr/>
                                                  <wps:spPr>
                                                    <a:xfrm>
                                                      <a:off x="-7144" y="-7144"/>
                                                      <a:ext cx="6000750" cy="904875"/>
                                                    </a:xfrm>
                                                    <a:custGeom>
                                                      <a:avLst/>
                                                      <a:gdLst/>
                                                      <a:ahLst/>
                                                      <a:cxnLst/>
                                                      <a:rect l="l" t="t" r="r" b="b"/>
                                                      <a:pathLst>
                                                        <a:path w="6000750" h="904875" extrusionOk="0">
                                                          <a:moveTo>
                                                            <a:pt x="7144" y="7144"/>
                                                          </a:moveTo>
                                                          <a:lnTo>
                                                            <a:pt x="7144" y="613886"/>
                                                          </a:lnTo>
                                                          <a:cubicBezTo>
                                                            <a:pt x="647224" y="1034891"/>
                                                            <a:pt x="2136934" y="964406"/>
                                                            <a:pt x="3546634" y="574834"/>
                                                          </a:cubicBezTo>
                                                          <a:cubicBezTo>
                                                            <a:pt x="4882039" y="205264"/>
                                                            <a:pt x="5998369" y="893921"/>
                                                            <a:pt x="5998369" y="893921"/>
                                                          </a:cubicBezTo>
                                                          <a:lnTo>
                                                            <a:pt x="5998369" y="7144"/>
                                                          </a:lnTo>
                                                          <a:lnTo>
                                                            <a:pt x="7144" y="7144"/>
                                                          </a:lnTo>
                                                          <a:close/>
                                                        </a:path>
                                                      </a:pathLst>
                                                    </a:custGeom>
                                                    <a:solidFill>
                                                      <a:srgbClr val="00274A"/>
                                                    </a:solidFill>
                                                    <a:ln>
                                                      <a:noFill/>
                                                    </a:ln>
                                                  </wps:spPr>
                                                  <wps:txbx>
                                                    <w:txbxContent>
                                                      <w:p w14:paraId="69667F48" w14:textId="77777777" w:rsidR="009D555A" w:rsidRDefault="009D555A">
                                                        <w:pPr>
                                                          <w:spacing w:after="0" w:line="240" w:lineRule="auto"/>
                                                          <w:textDirection w:val="btLr"/>
                                                        </w:pPr>
                                                      </w:p>
                                                    </w:txbxContent>
                                                  </wps:txbx>
                                                  <wps:bodyPr spcFirstLastPara="1" wrap="square" lIns="91425" tIns="91425" rIns="91425" bIns="91425" anchor="ctr" anchorCtr="0">
                                                    <a:noAutofit/>
                                                  </wps:bodyPr>
                                                </wps:wsp>
                                                <wps:wsp>
                                                  <wps:cNvPr id="384207853" name="Freeform: Shape 384207853"/>
                                                  <wps:cNvSpPr/>
                                                  <wps:spPr>
                                                    <a:xfrm>
                                                      <a:off x="3176111" y="924401"/>
                                                      <a:ext cx="2819400" cy="828675"/>
                                                    </a:xfrm>
                                                    <a:custGeom>
                                                      <a:avLst/>
                                                      <a:gdLst/>
                                                      <a:ahLst/>
                                                      <a:cxnLst/>
                                                      <a:rect l="l" t="t" r="r" b="b"/>
                                                      <a:pathLst>
                                                        <a:path w="2819400" h="828675" extrusionOk="0">
                                                          <a:moveTo>
                                                            <a:pt x="7144" y="481489"/>
                                                          </a:moveTo>
                                                          <a:cubicBezTo>
                                                            <a:pt x="380524" y="602456"/>
                                                            <a:pt x="751999" y="764381"/>
                                                            <a:pt x="1305401" y="812959"/>
                                                          </a:cubicBezTo>
                                                          <a:cubicBezTo>
                                                            <a:pt x="2325529" y="902494"/>
                                                            <a:pt x="2815114" y="428149"/>
                                                            <a:pt x="2815114" y="428149"/>
                                                          </a:cubicBezTo>
                                                          <a:lnTo>
                                                            <a:pt x="2815114" y="7144"/>
                                                          </a:lnTo>
                                                          <a:cubicBezTo>
                                                            <a:pt x="2332196" y="236696"/>
                                                            <a:pt x="1376839" y="568166"/>
                                                            <a:pt x="7144" y="481489"/>
                                                          </a:cubicBezTo>
                                                          <a:close/>
                                                        </a:path>
                                                      </a:pathLst>
                                                    </a:custGeom>
                                                    <a:solidFill>
                                                      <a:srgbClr val="006A78"/>
                                                    </a:solidFill>
                                                    <a:ln>
                                                      <a:noFill/>
                                                    </a:ln>
                                                  </wps:spPr>
                                                  <wps:txbx>
                                                    <w:txbxContent>
                                                      <w:p w14:paraId="2853DB78" w14:textId="77777777" w:rsidR="009D555A" w:rsidRDefault="009D555A">
                                                        <w:pPr>
                                                          <w:spacing w:after="0" w:line="240" w:lineRule="auto"/>
                                                          <w:textDirection w:val="btLr"/>
                                                        </w:pPr>
                                                      </w:p>
                                                    </w:txbxContent>
                                                  </wps:txbx>
                                                  <wps:bodyPr spcFirstLastPara="1" wrap="square" lIns="91425" tIns="91425" rIns="91425" bIns="91425" anchor="ctr" anchorCtr="0">
                                                    <a:noAutofit/>
                                                  </wps:bodyPr>
                                                </wps:wsp>
                                              </wpg:grpSp>
                                            </wpg:grpSp>
                                          </wpg:grpSp>
                                        </wpg:grpSp>
                                      </wpg:grpSp>
                                    </wpg:grpSp>
                                  </wpg:grpSp>
                                </wpg:grpSp>
                              </wpg:grpSp>
                            </wpg:grpSp>
                          </wpg:grpSp>
                        </wpg:grpSp>
                      </wpg:grpSp>
                    </wpg:grpSp>
                  </wpg:wg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-2006594</wp:posOffset>
              </wp:positionH>
              <wp:positionV relativeFrom="paragraph">
                <wp:posOffset>-241296</wp:posOffset>
              </wp:positionV>
              <wp:extent cx="9334500" cy="3385185"/>
              <wp:effectExtent b="0" l="0" r="0" t="0"/>
              <wp:wrapNone/>
              <wp:docPr id="1" name="image4.png"/>
              <a:graphic>
                <a:graphicData uri="http://schemas.openxmlformats.org/drawingml/2006/picture">
                  <pic:pic>
                    <pic:nvPicPr>
                      <pic:cNvPr id="0" name="image4.png"/>
                      <pic:cNvPicPr preferRelativeResize="0"/>
                    </pic:nvPicPr>
                    <pic:blipFill>
                      <a:blip r:embed="rId1"/>
                      <a:srcRect/>
                      <a:stretch>
                        <a:fillRect/>
                      </a:stretch>
                    </pic:blipFill>
                    <pic:spPr>
                      <a:xfrm>
                        <a:off x="0" y="0"/>
                        <a:ext cx="9334500" cy="3385185"/>
                      </a:xfrm>
                      <a:prstGeom prst="rect"/>
                      <a:ln/>
                    </pic:spPr>
                  </pic:pic>
                </a:graphicData>
              </a:graphic>
            </wp:anchor>
          </w:drawing>
        </mc:Fallback>
      </mc:AlternateContent>
    </w:r>
  </w:p>
  <w:p w14:paraId="451612C7" w14:textId="77777777" w:rsidR="009D555A" w:rsidRDefault="00000000">
    <w:r>
      <w:rPr>
        <w:noProof/>
      </w:rPr>
      <w:drawing>
        <wp:anchor distT="0" distB="0" distL="114300" distR="114300" simplePos="0" relativeHeight="251660288" behindDoc="0" locked="0" layoutInCell="1" hidden="0" allowOverlap="1" wp14:anchorId="6CED30C1" wp14:editId="62743C65">
          <wp:simplePos x="0" y="0"/>
          <wp:positionH relativeFrom="column">
            <wp:posOffset>3164840</wp:posOffset>
          </wp:positionH>
          <wp:positionV relativeFrom="paragraph">
            <wp:posOffset>26669</wp:posOffset>
          </wp:positionV>
          <wp:extent cx="3515995" cy="895985"/>
          <wp:effectExtent l="0" t="0" r="0" b="0"/>
          <wp:wrapNone/>
          <wp:docPr id="5" name="image1.png" descr="HDRN Canada Logo"/>
          <wp:cNvGraphicFramePr/>
          <a:graphic xmlns:a="http://schemas.openxmlformats.org/drawingml/2006/main">
            <a:graphicData uri="http://schemas.openxmlformats.org/drawingml/2006/picture">
              <pic:pic xmlns:pic="http://schemas.openxmlformats.org/drawingml/2006/picture">
                <pic:nvPicPr>
                  <pic:cNvPr id="0" name="image1.png" descr="HDRN Canada Logo"/>
                  <pic:cNvPicPr preferRelativeResize="0"/>
                </pic:nvPicPr>
                <pic:blipFill>
                  <a:blip r:embed="rId2"/>
                  <a:srcRect l="3376" r="3638"/>
                  <a:stretch>
                    <a:fillRect/>
                  </a:stretch>
                </pic:blipFill>
                <pic:spPr>
                  <a:xfrm>
                    <a:off x="0" y="0"/>
                    <a:ext cx="3515995" cy="895985"/>
                  </a:xfrm>
                  <a:prstGeom prst="rect">
                    <a:avLst/>
                  </a:prstGeom>
                  <a:ln/>
                </pic:spPr>
              </pic:pic>
            </a:graphicData>
          </a:graphic>
        </wp:anchor>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4DD5CA" w14:textId="3D01B947" w:rsidR="009D555A" w:rsidRDefault="00000000">
    <w:pPr>
      <w:jc w:val="right"/>
    </w:pPr>
    <w:r>
      <w:fldChar w:fldCharType="begin"/>
    </w:r>
    <w:r>
      <w:instrText>PAGE</w:instrText>
    </w:r>
    <w:r>
      <w:fldChar w:fldCharType="separate"/>
    </w:r>
    <w:r w:rsidR="003674D7">
      <w:rPr>
        <w:noProof/>
      </w:rPr>
      <w:t>3</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D0E6BB" w14:textId="1CA11326" w:rsidR="009D555A" w:rsidRDefault="00000000">
    <w:pPr>
      <w:jc w:val="right"/>
    </w:pPr>
    <w:r>
      <w:fldChar w:fldCharType="begin"/>
    </w:r>
    <w:r>
      <w:instrText>PAGE</w:instrText>
    </w:r>
    <w:r>
      <w:fldChar w:fldCharType="separate"/>
    </w:r>
    <w:r w:rsidR="003674D7">
      <w:rPr>
        <w:noProof/>
      </w:rPr>
      <w:t>4</w:t>
    </w:r>
    <w:r>
      <w:fldChar w:fldCharType="end"/>
    </w:r>
    <w:r>
      <w:rPr>
        <w:noProof/>
      </w:rPr>
      <w:drawing>
        <wp:anchor distT="0" distB="0" distL="114300" distR="114300" simplePos="0" relativeHeight="251661312" behindDoc="0" locked="0" layoutInCell="1" hidden="0" allowOverlap="1" wp14:anchorId="203DD845" wp14:editId="7F9E7FEB">
          <wp:simplePos x="0" y="0"/>
          <wp:positionH relativeFrom="column">
            <wp:posOffset>114300</wp:posOffset>
          </wp:positionH>
          <wp:positionV relativeFrom="paragraph">
            <wp:posOffset>0</wp:posOffset>
          </wp:positionV>
          <wp:extent cx="3164840" cy="822960"/>
          <wp:effectExtent l="0" t="0" r="0" b="0"/>
          <wp:wrapSquare wrapText="bothSides" distT="0" distB="0" distL="114300" distR="114300"/>
          <wp:docPr id="4" name="image2.png" descr="HDRN Canada Logo"/>
          <wp:cNvGraphicFramePr/>
          <a:graphic xmlns:a="http://schemas.openxmlformats.org/drawingml/2006/main">
            <a:graphicData uri="http://schemas.openxmlformats.org/drawingml/2006/picture">
              <pic:pic xmlns:pic="http://schemas.openxmlformats.org/drawingml/2006/picture">
                <pic:nvPicPr>
                  <pic:cNvPr id="0" name="image2.png" descr="HDRN Canada Logo"/>
                  <pic:cNvPicPr preferRelativeResize="0"/>
                </pic:nvPicPr>
                <pic:blipFill>
                  <a:blip r:embed="rId1"/>
                  <a:srcRect l="5505" r="3234"/>
                  <a:stretch>
                    <a:fillRect/>
                  </a:stretch>
                </pic:blipFill>
                <pic:spPr>
                  <a:xfrm>
                    <a:off x="0" y="0"/>
                    <a:ext cx="3164840" cy="822960"/>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781893" w14:textId="77777777" w:rsidR="00D07C88" w:rsidRDefault="00D07C88">
      <w:pPr>
        <w:spacing w:after="0" w:line="240" w:lineRule="auto"/>
      </w:pPr>
      <w:r>
        <w:separator/>
      </w:r>
    </w:p>
  </w:footnote>
  <w:footnote w:type="continuationSeparator" w:id="0">
    <w:p w14:paraId="56E868A9" w14:textId="77777777" w:rsidR="00D07C88" w:rsidRDefault="00D07C8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E543F"/>
    <w:multiLevelType w:val="multilevel"/>
    <w:tmpl w:val="87C89B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0600F7A"/>
    <w:multiLevelType w:val="multilevel"/>
    <w:tmpl w:val="EF9E09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FD3323F"/>
    <w:multiLevelType w:val="multilevel"/>
    <w:tmpl w:val="99C4653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79310F9"/>
    <w:multiLevelType w:val="multilevel"/>
    <w:tmpl w:val="8A00A5B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B471AE7"/>
    <w:multiLevelType w:val="multilevel"/>
    <w:tmpl w:val="8ED4E4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2D6116F7"/>
    <w:multiLevelType w:val="multilevel"/>
    <w:tmpl w:val="50AE7F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303B1083"/>
    <w:multiLevelType w:val="multilevel"/>
    <w:tmpl w:val="5654616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447D3BBA"/>
    <w:multiLevelType w:val="multilevel"/>
    <w:tmpl w:val="404AC8F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45F7668C"/>
    <w:multiLevelType w:val="multilevel"/>
    <w:tmpl w:val="98B2817E"/>
    <w:lvl w:ilvl="0">
      <w:start w:val="1"/>
      <w:numFmt w:val="bullet"/>
      <w:lvlText w:val="●"/>
      <w:lvlJc w:val="left"/>
      <w:pPr>
        <w:ind w:left="361" w:hanging="361"/>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4F594C3A"/>
    <w:multiLevelType w:val="multilevel"/>
    <w:tmpl w:val="1610A4A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5F1D323A"/>
    <w:multiLevelType w:val="multilevel"/>
    <w:tmpl w:val="53706C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50241A3"/>
    <w:multiLevelType w:val="multilevel"/>
    <w:tmpl w:val="B70484F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668F593F"/>
    <w:multiLevelType w:val="multilevel"/>
    <w:tmpl w:val="31109F26"/>
    <w:lvl w:ilvl="0">
      <w:start w:val="1"/>
      <w:numFmt w:val="bullet"/>
      <w:lvlText w:val="●"/>
      <w:lvlJc w:val="left"/>
      <w:pPr>
        <w:ind w:left="361" w:hanging="361"/>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723D5D9E"/>
    <w:multiLevelType w:val="multilevel"/>
    <w:tmpl w:val="5D7E17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72A753CE"/>
    <w:multiLevelType w:val="multilevel"/>
    <w:tmpl w:val="84EE3844"/>
    <w:lvl w:ilvl="0">
      <w:start w:val="1"/>
      <w:numFmt w:val="bullet"/>
      <w:lvlText w:val="●"/>
      <w:lvlJc w:val="left"/>
      <w:pPr>
        <w:ind w:left="361" w:hanging="361"/>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7BE4298C"/>
    <w:multiLevelType w:val="multilevel"/>
    <w:tmpl w:val="34D646C0"/>
    <w:lvl w:ilvl="0">
      <w:start w:val="1"/>
      <w:numFmt w:val="bullet"/>
      <w:lvlText w:val="●"/>
      <w:lvlJc w:val="left"/>
      <w:pPr>
        <w:ind w:left="361" w:hanging="361"/>
      </w:pPr>
      <w:rPr>
        <w:rFonts w:ascii="Noto Sans Symbols" w:eastAsia="Noto Sans Symbols" w:hAnsi="Noto Sans Symbols" w:cs="Noto Sans Symbols"/>
        <w:sz w:val="22"/>
        <w:szCs w:val="2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7DA56705"/>
    <w:multiLevelType w:val="multilevel"/>
    <w:tmpl w:val="DA40619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7EF4396B"/>
    <w:multiLevelType w:val="multilevel"/>
    <w:tmpl w:val="14AC86B2"/>
    <w:lvl w:ilvl="0">
      <w:start w:val="1"/>
      <w:numFmt w:val="bullet"/>
      <w:lvlText w:val="●"/>
      <w:lvlJc w:val="left"/>
      <w:pPr>
        <w:ind w:left="361" w:hanging="361"/>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num w:numId="1" w16cid:durableId="1534730807">
    <w:abstractNumId w:val="6"/>
  </w:num>
  <w:num w:numId="2" w16cid:durableId="1663775205">
    <w:abstractNumId w:val="16"/>
  </w:num>
  <w:num w:numId="3" w16cid:durableId="1696929837">
    <w:abstractNumId w:val="5"/>
  </w:num>
  <w:num w:numId="4" w16cid:durableId="1877767714">
    <w:abstractNumId w:val="3"/>
  </w:num>
  <w:num w:numId="5" w16cid:durableId="86007548">
    <w:abstractNumId w:val="1"/>
  </w:num>
  <w:num w:numId="6" w16cid:durableId="653487675">
    <w:abstractNumId w:val="7"/>
  </w:num>
  <w:num w:numId="7" w16cid:durableId="1081216211">
    <w:abstractNumId w:val="10"/>
  </w:num>
  <w:num w:numId="8" w16cid:durableId="1168400698">
    <w:abstractNumId w:val="13"/>
  </w:num>
  <w:num w:numId="9" w16cid:durableId="1133134666">
    <w:abstractNumId w:val="0"/>
  </w:num>
  <w:num w:numId="10" w16cid:durableId="357512873">
    <w:abstractNumId w:val="4"/>
  </w:num>
  <w:num w:numId="11" w16cid:durableId="1300115721">
    <w:abstractNumId w:val="11"/>
  </w:num>
  <w:num w:numId="12" w16cid:durableId="782069785">
    <w:abstractNumId w:val="12"/>
  </w:num>
  <w:num w:numId="13" w16cid:durableId="1958486812">
    <w:abstractNumId w:val="8"/>
  </w:num>
  <w:num w:numId="14" w16cid:durableId="1484279590">
    <w:abstractNumId w:val="17"/>
  </w:num>
  <w:num w:numId="15" w16cid:durableId="271984759">
    <w:abstractNumId w:val="14"/>
  </w:num>
  <w:num w:numId="16" w16cid:durableId="1395351572">
    <w:abstractNumId w:val="9"/>
  </w:num>
  <w:num w:numId="17" w16cid:durableId="1169522052">
    <w:abstractNumId w:val="15"/>
  </w:num>
  <w:num w:numId="18" w16cid:durableId="14117305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555A"/>
    <w:rsid w:val="003674D7"/>
    <w:rsid w:val="009D555A"/>
    <w:rsid w:val="00BA6A51"/>
    <w:rsid w:val="00D07C8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F35DA9"/>
  <w15:docId w15:val="{CC73D7D5-20A5-455A-B9B8-873AF4B5A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4"/>
        <w:szCs w:val="24"/>
        <w:lang w:val="fr-CA" w:eastAsia="en-CA" w:bidi="ar-SA"/>
      </w:rPr>
    </w:rPrDefault>
    <w:pPrDefault>
      <w:pPr>
        <w:spacing w:after="16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after="120" w:line="276" w:lineRule="auto"/>
      <w:outlineLvl w:val="0"/>
    </w:pPr>
    <w:rPr>
      <w:rFonts w:ascii="Lato" w:eastAsia="Lato" w:hAnsi="Lato" w:cs="Lato"/>
      <w:b/>
      <w:bCs/>
      <w:color w:val="006A78"/>
      <w:sz w:val="36"/>
      <w:szCs w:val="36"/>
    </w:rPr>
  </w:style>
  <w:style w:type="paragraph" w:styleId="Heading2">
    <w:name w:val="heading 2"/>
    <w:basedOn w:val="Normal"/>
    <w:next w:val="Normal"/>
    <w:uiPriority w:val="9"/>
    <w:unhideWhenUsed/>
    <w:qFormat/>
    <w:pPr>
      <w:keepNext/>
      <w:keepLines/>
      <w:tabs>
        <w:tab w:val="left" w:pos="461"/>
      </w:tabs>
      <w:spacing w:after="120" w:line="276" w:lineRule="auto"/>
      <w:outlineLvl w:val="1"/>
    </w:pPr>
    <w:rPr>
      <w:rFonts w:ascii="Lato" w:eastAsia="Lato" w:hAnsi="Lato" w:cs="Lato"/>
      <w:b/>
      <w:bCs/>
      <w:color w:val="002649"/>
      <w:sz w:val="28"/>
      <w:szCs w:val="28"/>
    </w:rPr>
  </w:style>
  <w:style w:type="paragraph" w:styleId="Heading3">
    <w:name w:val="heading 3"/>
    <w:basedOn w:val="Normal"/>
    <w:next w:val="Normal"/>
    <w:uiPriority w:val="9"/>
    <w:unhideWhenUsed/>
    <w:qFormat/>
    <w:pPr>
      <w:keepNext/>
      <w:keepLines/>
      <w:tabs>
        <w:tab w:val="left" w:pos="461"/>
      </w:tabs>
      <w:spacing w:after="120" w:line="276" w:lineRule="auto"/>
      <w:outlineLvl w:val="2"/>
    </w:pPr>
    <w:rPr>
      <w:rFonts w:ascii="Lato" w:eastAsia="Lato" w:hAnsi="Lato" w:cs="Lato"/>
      <w:color w:val="006A78"/>
      <w:sz w:val="28"/>
      <w:szCs w:val="28"/>
    </w:rPr>
  </w:style>
  <w:style w:type="paragraph" w:styleId="Heading4">
    <w:name w:val="heading 4"/>
    <w:basedOn w:val="Normal"/>
    <w:next w:val="Normal"/>
    <w:uiPriority w:val="9"/>
    <w:unhideWhenUsed/>
    <w:qFormat/>
    <w:pPr>
      <w:outlineLvl w:val="3"/>
    </w:pPr>
    <w:rPr>
      <w:i/>
      <w:iCs/>
    </w:rPr>
  </w:style>
  <w:style w:type="paragraph" w:styleId="Heading5">
    <w:name w:val="heading 5"/>
    <w:basedOn w:val="Normal"/>
    <w:next w:val="Normal"/>
    <w:uiPriority w:val="9"/>
    <w:semiHidden/>
    <w:unhideWhenUsed/>
    <w:qFormat/>
    <w:pPr>
      <w:ind w:left="360"/>
      <w:outlineLvl w:val="4"/>
    </w:pPr>
    <w:rPr>
      <w:i/>
      <w:iCs/>
      <w:color w:val="006A78"/>
    </w:rPr>
  </w:style>
  <w:style w:type="paragraph" w:styleId="Heading6">
    <w:name w:val="heading 6"/>
    <w:basedOn w:val="Normal"/>
    <w:next w:val="Normal"/>
    <w:uiPriority w:val="9"/>
    <w:semiHidden/>
    <w:unhideWhenUsed/>
    <w:qFormat/>
    <w:pPr>
      <w:ind w:left="720" w:hanging="360"/>
      <w:outlineLvl w:val="5"/>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spacing w:after="0" w:line="240" w:lineRule="auto"/>
    </w:pPr>
    <w:rPr>
      <w:rFonts w:ascii="Lato" w:eastAsia="Lato" w:hAnsi="Lato" w:cs="Lato"/>
      <w:b/>
      <w:bCs/>
      <w:color w:val="002060"/>
      <w:sz w:val="44"/>
      <w:szCs w:val="44"/>
    </w:rPr>
  </w:style>
  <w:style w:type="paragraph" w:styleId="Subtitle">
    <w:name w:val="Subtitle"/>
    <w:basedOn w:val="Normal"/>
    <w:next w:val="Normal"/>
    <w:uiPriority w:val="11"/>
    <w:qFormat/>
    <w:pPr>
      <w:spacing w:after="0" w:line="240" w:lineRule="auto"/>
    </w:pPr>
    <w:rPr>
      <w:rFonts w:ascii="Lato" w:eastAsia="Lato" w:hAnsi="Lato" w:cs="Lato"/>
      <w:b/>
      <w:bCs/>
      <w:color w:val="00274A"/>
      <w:sz w:val="72"/>
      <w:szCs w:val="7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www.hdrn.ca/fr/gsad/projets/" TargetMode="External"/><Relationship Id="rId18" Type="http://schemas.openxmlformats.org/officeDocument/2006/relationships/hyperlink" Target="https://www.cndr.org/fr" TargetMode="External"/><Relationship Id="rId26" Type="http://schemas.openxmlformats.org/officeDocument/2006/relationships/footer" Target="footer5.xml"/><Relationship Id="rId3" Type="http://schemas.openxmlformats.org/officeDocument/2006/relationships/styles" Target="styles.xml"/><Relationship Id="rId21" Type="http://schemas.openxmlformats.org/officeDocument/2006/relationships/hyperlink" Target="https://www.youtube.com/playlist?list=PL6iM14R_AMRXXHXRf-43u7tedtPmRhoVU" TargetMode="External"/><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hyperlink" Target="https://recoveryexcellence.org/" TargetMode="External"/><Relationship Id="rId25" Type="http://schemas.openxmlformats.org/officeDocument/2006/relationships/hyperlink" Target="https://www.youtube.com/watch?v=a_-US4zpBxg&amp;list=PL6iM14R_AMRXqCBfF9q5o29lLqV1EFEmY" TargetMode="External"/><Relationship Id="rId2" Type="http://schemas.openxmlformats.org/officeDocument/2006/relationships/numbering" Target="numbering.xml"/><Relationship Id="rId16" Type="http://schemas.openxmlformats.org/officeDocument/2006/relationships/hyperlink" Target="https://cansparkltc.ca/" TargetMode="External"/><Relationship Id="rId20" Type="http://schemas.openxmlformats.org/officeDocument/2006/relationships/hyperlink" Target="https://sencanada.ca/fr/comites/SOCI/Memoires/45-1%23?Session=45-1"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hyperlink" Target="https://www.hdrn.ca/fr/pour-le-public/lengagement-du-public/forum-public/2026-programme/" TargetMode="External"/><Relationship Id="rId5" Type="http://schemas.openxmlformats.org/officeDocument/2006/relationships/webSettings" Target="webSettings.xml"/><Relationship Id="rId15" Type="http://schemas.openxmlformats.org/officeDocument/2006/relationships/hyperlink" Target="https://archimedesdata.ca/fr/home-fr/" TargetMode="External"/><Relationship Id="rId23" Type="http://schemas.openxmlformats.org/officeDocument/2006/relationships/hyperlink" Target="https://www.hdrn.ca/fr/categories-fr/grandes-idees/" TargetMode="External"/><Relationship Id="rId28" Type="http://schemas.openxmlformats.org/officeDocument/2006/relationships/theme" Target="theme/theme1.xml"/><Relationship Id="rId10" Type="http://schemas.openxmlformats.org/officeDocument/2006/relationships/footer" Target="footer3.xml"/><Relationship Id="rId19" Type="http://schemas.openxmlformats.org/officeDocument/2006/relationships/hyperlink" Target="https://sencanada.ca/Content/Sen/Committee/451/SOCI/briefs/SOCI_S-5_Brief_HDR-Alliance_f.pdf"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https://hdrn.ca/fr/initiatives/lalliance-pour-la-recherche-sur-les-donnees-de-sante/" TargetMode="External"/><Relationship Id="rId22" Type="http://schemas.openxmlformats.org/officeDocument/2006/relationships/hyperlink" Target="https://www.hdrn.ca/fr/categories-fr/grandes-idees/" TargetMode="External"/><Relationship Id="rId27"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4.png"/></Relationships>
</file>

<file path=word/_rels/footer5.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YQw/P5QTNVSkx2IKi00Sw+e35TQ==">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5342</Words>
  <Characters>30454</Characters>
  <Application>Microsoft Office Word</Application>
  <DocSecurity>2</DocSecurity>
  <Lines>253</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Claire O'Brien</cp:lastModifiedBy>
  <cp:revision>2</cp:revision>
  <dcterms:created xsi:type="dcterms:W3CDTF">2026-06-23T17:44:00Z</dcterms:created>
  <dcterms:modified xsi:type="dcterms:W3CDTF">2026-06-23T18:24:00Z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0x010100B436A9A10C39AF4B8595858AF44D528A</vt:lpwstr>
  </property>
</Properties>
</file>