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22501" w:rsidRDefault="00000000">
      <w:pPr>
        <w:pStyle w:val="Title"/>
        <w:rPr>
          <w:color w:val="00274A"/>
        </w:rPr>
      </w:pPr>
      <w:r>
        <w:rPr>
          <w:color w:val="00274A"/>
        </w:rPr>
        <w:t xml:space="preserve">RRDS Canada </w:t>
      </w:r>
    </w:p>
    <w:p w14:paraId="00000002" w14:textId="77777777" w:rsidR="00E22501" w:rsidRDefault="00000000">
      <w:pPr>
        <w:pStyle w:val="Subtitle"/>
        <w:spacing w:before="240"/>
      </w:pPr>
      <w:r>
        <w:rPr>
          <w:sz w:val="56"/>
          <w:szCs w:val="56"/>
        </w:rPr>
        <w:t xml:space="preserve">Rapport de la directrice générale et directrice scientifique </w:t>
      </w:r>
    </w:p>
    <w:p w14:paraId="00000003" w14:textId="77777777" w:rsidR="00E22501" w:rsidRDefault="00000000">
      <w:pPr>
        <w:pBdr>
          <w:top w:val="nil"/>
          <w:left w:val="nil"/>
          <w:bottom w:val="nil"/>
          <w:right w:val="nil"/>
          <w:between w:val="nil"/>
        </w:pBdr>
        <w:spacing w:before="200" w:after="0" w:line="480" w:lineRule="auto"/>
        <w:rPr>
          <w:rFonts w:ascii="Lato" w:eastAsia="Lato" w:hAnsi="Lato" w:cs="Lato"/>
          <w:b/>
          <w:bCs/>
          <w:color w:val="00274A"/>
          <w:sz w:val="44"/>
          <w:szCs w:val="44"/>
        </w:rPr>
      </w:pPr>
      <w:r>
        <w:rPr>
          <w:rFonts w:ascii="Lato" w:eastAsia="Lato" w:hAnsi="Lato" w:cs="Lato"/>
          <w:b/>
          <w:bCs/>
          <w:color w:val="00274A"/>
          <w:sz w:val="44"/>
          <w:szCs w:val="44"/>
        </w:rPr>
        <w:t>23 février 2026</w:t>
      </w:r>
      <w:r>
        <w:br w:type="page"/>
      </w:r>
    </w:p>
    <w:p w14:paraId="00000004" w14:textId="77777777" w:rsidR="00E22501" w:rsidRDefault="00000000">
      <w:pPr>
        <w:pStyle w:val="Title"/>
        <w:spacing w:after="200"/>
        <w:rPr>
          <w:rFonts w:ascii="Arial" w:eastAsia="Arial" w:hAnsi="Arial" w:cs="Arial"/>
          <w:color w:val="006A78"/>
          <w:sz w:val="36"/>
          <w:szCs w:val="36"/>
        </w:rPr>
      </w:pPr>
      <w:r>
        <w:rPr>
          <w:color w:val="006A78"/>
          <w:sz w:val="36"/>
          <w:szCs w:val="36"/>
        </w:rPr>
        <w:lastRenderedPageBreak/>
        <w:t>Table des matières</w:t>
      </w:r>
    </w:p>
    <w:sdt>
      <w:sdtPr>
        <w:id w:val="1299144241"/>
        <w:docPartObj>
          <w:docPartGallery w:val="Table of Contents"/>
          <w:docPartUnique/>
        </w:docPartObj>
      </w:sdtPr>
      <w:sdtContent>
        <w:p w14:paraId="00000005" w14:textId="77777777" w:rsidR="00E22501" w:rsidRDefault="00000000">
          <w:pPr>
            <w:pBdr>
              <w:top w:val="nil"/>
              <w:left w:val="nil"/>
              <w:bottom w:val="nil"/>
              <w:right w:val="nil"/>
              <w:between w:val="nil"/>
            </w:pBdr>
            <w:tabs>
              <w:tab w:val="right" w:pos="10070"/>
            </w:tabs>
            <w:spacing w:before="60" w:after="0" w:line="240" w:lineRule="auto"/>
            <w:rPr>
              <w:rFonts w:ascii="Cambria" w:eastAsia="Cambria" w:hAnsi="Cambria" w:cs="Cambria"/>
              <w:color w:val="000000"/>
            </w:rPr>
          </w:pPr>
          <w:r>
            <w:fldChar w:fldCharType="begin"/>
          </w:r>
          <w:r>
            <w:instrText xml:space="preserve"> TOC \h \u \z \t "Heading 1,1,Heading 2,2,"</w:instrText>
          </w:r>
          <w:r>
            <w:fldChar w:fldCharType="separate"/>
          </w:r>
          <w:hyperlink w:anchor="_heading=h.q5m99axtk1t8">
            <w:r>
              <w:rPr>
                <w:b/>
                <w:bCs/>
                <w:color w:val="000000"/>
              </w:rPr>
              <w:t>Section 1 : Tableau de bord des indicateurs de performance organisationnelle</w:t>
            </w:r>
            <w:r>
              <w:rPr>
                <w:b/>
                <w:bCs/>
                <w:color w:val="000000"/>
              </w:rPr>
              <w:tab/>
              <w:t>3</w:t>
            </w:r>
          </w:hyperlink>
        </w:p>
        <w:p w14:paraId="00000006" w14:textId="77777777" w:rsidR="00E22501" w:rsidRDefault="00000000">
          <w:pPr>
            <w:pBdr>
              <w:top w:val="nil"/>
              <w:left w:val="nil"/>
              <w:bottom w:val="nil"/>
              <w:right w:val="nil"/>
              <w:between w:val="nil"/>
            </w:pBdr>
            <w:tabs>
              <w:tab w:val="right" w:pos="10070"/>
            </w:tabs>
            <w:spacing w:before="60" w:after="0" w:line="240" w:lineRule="auto"/>
            <w:rPr>
              <w:rFonts w:ascii="Cambria" w:eastAsia="Cambria" w:hAnsi="Cambria" w:cs="Cambria"/>
              <w:color w:val="000000"/>
            </w:rPr>
          </w:pPr>
          <w:hyperlink w:anchor="_heading=h.lbymh9xs4iud">
            <w:r>
              <w:rPr>
                <w:b/>
                <w:bCs/>
                <w:color w:val="000000"/>
              </w:rPr>
              <w:t>Section 2 : Principales réalisations concernant les engagements stratégiques</w:t>
            </w:r>
            <w:r>
              <w:rPr>
                <w:b/>
                <w:bCs/>
                <w:color w:val="000000"/>
              </w:rPr>
              <w:tab/>
              <w:t>4</w:t>
            </w:r>
          </w:hyperlink>
        </w:p>
        <w:p w14:paraId="00000007"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hu2dhbfygn6j">
            <w:r>
              <w:rPr>
                <w:color w:val="000000"/>
                <w:sz w:val="22"/>
                <w:szCs w:val="22"/>
              </w:rPr>
              <w:t>Objectif 1 : Développer et améliorer les services et le soutien à l’accès aux données</w:t>
            </w:r>
            <w:r>
              <w:rPr>
                <w:color w:val="000000"/>
                <w:sz w:val="22"/>
                <w:szCs w:val="22"/>
              </w:rPr>
              <w:tab/>
              <w:t>4</w:t>
            </w:r>
          </w:hyperlink>
        </w:p>
        <w:p w14:paraId="00000008"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z89oajqwn1c4">
            <w:r>
              <w:rPr>
                <w:color w:val="000000"/>
                <w:sz w:val="22"/>
                <w:szCs w:val="22"/>
              </w:rPr>
              <w:t>Objectif 2 : Diversifier et harmoniser les données, et soutenir une utilisation des données innovante et respectueuse de la vie privée</w:t>
            </w:r>
            <w:r>
              <w:rPr>
                <w:color w:val="000000"/>
                <w:sz w:val="22"/>
                <w:szCs w:val="22"/>
              </w:rPr>
              <w:tab/>
              <w:t>4</w:t>
            </w:r>
          </w:hyperlink>
        </w:p>
        <w:p w14:paraId="00000009"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5pdtjiyk28it">
            <w:r>
              <w:rPr>
                <w:color w:val="000000"/>
                <w:sz w:val="22"/>
                <w:szCs w:val="22"/>
              </w:rPr>
              <w:t>Objectif 3 : Établir et renforcer les partenariats et faire preuve de leadership dans l’évolution des pratiques en matière de données</w:t>
            </w:r>
            <w:r>
              <w:rPr>
                <w:color w:val="000000"/>
                <w:sz w:val="22"/>
                <w:szCs w:val="22"/>
              </w:rPr>
              <w:tab/>
              <w:t>7</w:t>
            </w:r>
          </w:hyperlink>
        </w:p>
        <w:p w14:paraId="0000000A"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dfs0kk4nyb2m">
            <w:r>
              <w:rPr>
                <w:color w:val="000000"/>
                <w:sz w:val="22"/>
                <w:szCs w:val="22"/>
              </w:rPr>
              <w:t>Objectif 4 : Renforcer l’utilisation des données pour améliorer l’équité et soutenir la souveraineté des données dirigées par les peuples autochtones</w:t>
            </w:r>
            <w:r>
              <w:rPr>
                <w:color w:val="000000"/>
                <w:sz w:val="22"/>
                <w:szCs w:val="22"/>
              </w:rPr>
              <w:tab/>
              <w:t>10</w:t>
            </w:r>
          </w:hyperlink>
        </w:p>
        <w:p w14:paraId="0000000B"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plyp0qanur9t">
            <w:r>
              <w:rPr>
                <w:color w:val="000000"/>
                <w:sz w:val="22"/>
                <w:szCs w:val="22"/>
              </w:rPr>
              <w:t>Objectif 5 : Assurer une participation publique et communautaire intentionnelle et continue</w:t>
            </w:r>
            <w:r>
              <w:rPr>
                <w:color w:val="000000"/>
                <w:sz w:val="22"/>
                <w:szCs w:val="22"/>
              </w:rPr>
              <w:tab/>
              <w:t>14</w:t>
            </w:r>
          </w:hyperlink>
        </w:p>
        <w:p w14:paraId="0000000C"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8sdt646jpz7l">
            <w:r>
              <w:rPr>
                <w:color w:val="000000"/>
                <w:sz w:val="22"/>
                <w:szCs w:val="22"/>
              </w:rPr>
              <w:t>Facteur de réussite : un réseau cohésif avec des activités efficaces et durables</w:t>
            </w:r>
            <w:r>
              <w:rPr>
                <w:color w:val="000000"/>
                <w:sz w:val="22"/>
                <w:szCs w:val="22"/>
              </w:rPr>
              <w:tab/>
              <w:t>15</w:t>
            </w:r>
          </w:hyperlink>
        </w:p>
        <w:p w14:paraId="0000000D" w14:textId="77777777" w:rsidR="00E22501" w:rsidRDefault="00000000">
          <w:pPr>
            <w:pBdr>
              <w:top w:val="nil"/>
              <w:left w:val="nil"/>
              <w:bottom w:val="nil"/>
              <w:right w:val="nil"/>
              <w:between w:val="nil"/>
            </w:pBdr>
            <w:tabs>
              <w:tab w:val="right" w:pos="10070"/>
            </w:tabs>
            <w:spacing w:before="60" w:after="0" w:line="240" w:lineRule="auto"/>
            <w:ind w:left="357"/>
            <w:rPr>
              <w:rFonts w:ascii="Cambria" w:eastAsia="Cambria" w:hAnsi="Cambria" w:cs="Cambria"/>
              <w:color w:val="000000"/>
            </w:rPr>
          </w:pPr>
          <w:hyperlink w:anchor="_heading=h.8t7spwf1lwpn">
            <w:r>
              <w:rPr>
                <w:color w:val="000000"/>
                <w:sz w:val="22"/>
                <w:szCs w:val="22"/>
              </w:rPr>
              <w:t>Facteur de réussite : un écosystème législatif et stratégique favorable et engagé et une communauté d’utilisateurs de données active</w:t>
            </w:r>
            <w:r>
              <w:rPr>
                <w:color w:val="000000"/>
                <w:sz w:val="22"/>
                <w:szCs w:val="22"/>
              </w:rPr>
              <w:tab/>
              <w:t>15</w:t>
            </w:r>
          </w:hyperlink>
        </w:p>
        <w:p w14:paraId="0000000E" w14:textId="77777777" w:rsidR="00E22501" w:rsidRDefault="00000000">
          <w:pPr>
            <w:widowControl w:val="0"/>
            <w:tabs>
              <w:tab w:val="right" w:pos="12000"/>
            </w:tabs>
            <w:spacing w:before="60" w:after="0" w:line="240" w:lineRule="auto"/>
            <w:rPr>
              <w:rFonts w:ascii="Lato" w:eastAsia="Lato" w:hAnsi="Lato" w:cs="Lato"/>
              <w:b/>
              <w:bCs/>
              <w:color w:val="006A78"/>
              <w:sz w:val="36"/>
              <w:szCs w:val="36"/>
            </w:rPr>
          </w:pPr>
          <w:r>
            <w:fldChar w:fldCharType="end"/>
          </w:r>
        </w:p>
      </w:sdtContent>
    </w:sdt>
    <w:p w14:paraId="0000000F" w14:textId="77777777" w:rsidR="00E22501" w:rsidRDefault="00000000">
      <w:pPr>
        <w:spacing w:after="0"/>
        <w:rPr>
          <w:rFonts w:ascii="Lato" w:eastAsia="Lato" w:hAnsi="Lato" w:cs="Lato"/>
          <w:b/>
          <w:bCs/>
          <w:color w:val="006A78"/>
          <w:sz w:val="36"/>
          <w:szCs w:val="36"/>
        </w:rPr>
      </w:pPr>
      <w:r>
        <w:rPr>
          <w:rFonts w:ascii="Lato" w:eastAsia="Lato" w:hAnsi="Lato" w:cs="Lato"/>
          <w:b/>
          <w:bCs/>
          <w:color w:val="006A78"/>
          <w:sz w:val="36"/>
          <w:szCs w:val="36"/>
        </w:rPr>
        <w:t>Abréviations</w:t>
      </w:r>
    </w:p>
    <w:p w14:paraId="00000010" w14:textId="77777777" w:rsidR="00E22501"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00000011" w14:textId="77777777" w:rsidR="00E22501" w:rsidRDefault="00000000">
      <w:pPr>
        <w:spacing w:after="0" w:line="276" w:lineRule="auto"/>
        <w:rPr>
          <w:i/>
          <w:iCs/>
          <w:sz w:val="22"/>
          <w:szCs w:val="22"/>
        </w:rPr>
      </w:pPr>
      <w:r>
        <w:rPr>
          <w:b/>
          <w:bCs/>
          <w:sz w:val="22"/>
          <w:szCs w:val="22"/>
        </w:rPr>
        <w:t>CAN-ASK :</w:t>
      </w:r>
      <w:r>
        <w:rPr>
          <w:sz w:val="22"/>
          <w:szCs w:val="22"/>
        </w:rPr>
        <w:t xml:space="preserve"> Projet pancanadien de service d’analyse de données pour les utilisateurs de connaissances</w:t>
      </w:r>
    </w:p>
    <w:p w14:paraId="00000012" w14:textId="77777777" w:rsidR="00E22501" w:rsidRDefault="00000000">
      <w:pPr>
        <w:spacing w:after="0" w:line="276" w:lineRule="auto"/>
        <w:rPr>
          <w:i/>
          <w:iCs/>
          <w:sz w:val="22"/>
          <w:szCs w:val="22"/>
        </w:rPr>
      </w:pPr>
      <w:r>
        <w:rPr>
          <w:b/>
          <w:bCs/>
          <w:sz w:val="22"/>
          <w:szCs w:val="22"/>
        </w:rPr>
        <w:t>CanPath :</w:t>
      </w:r>
      <w:r>
        <w:rPr>
          <w:sz w:val="22"/>
          <w:szCs w:val="22"/>
        </w:rPr>
        <w:t xml:space="preserve"> Partenariat canadien pour la santé de demain : </w:t>
      </w:r>
      <w:r>
        <w:rPr>
          <w:i/>
          <w:iCs/>
          <w:sz w:val="22"/>
          <w:szCs w:val="22"/>
        </w:rPr>
        <w:t xml:space="preserve">Une grande cohorte longitudinale </w:t>
      </w:r>
    </w:p>
    <w:p w14:paraId="00000013" w14:textId="77777777" w:rsidR="00E22501"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00000014" w14:textId="77777777" w:rsidR="00E22501"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00000015" w14:textId="77777777" w:rsidR="00E22501" w:rsidRDefault="00000000">
      <w:pPr>
        <w:spacing w:after="0" w:line="276" w:lineRule="auto"/>
        <w:rPr>
          <w:sz w:val="22"/>
          <w:szCs w:val="22"/>
        </w:rPr>
      </w:pPr>
      <w:r>
        <w:rPr>
          <w:b/>
          <w:bCs/>
          <w:sz w:val="22"/>
          <w:szCs w:val="22"/>
        </w:rPr>
        <w:t>FCI :</w:t>
      </w:r>
      <w:r>
        <w:rPr>
          <w:sz w:val="22"/>
          <w:szCs w:val="22"/>
        </w:rPr>
        <w:t xml:space="preserve"> Fondation canadienne pour l’innovation</w:t>
      </w:r>
    </w:p>
    <w:p w14:paraId="00000016" w14:textId="77777777" w:rsidR="00E22501"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Une équipe au sein du RRDS Canada</w:t>
      </w:r>
    </w:p>
    <w:p w14:paraId="00000017" w14:textId="77777777" w:rsidR="00E22501" w:rsidRDefault="00000000">
      <w:pPr>
        <w:spacing w:after="0" w:line="276" w:lineRule="auto"/>
        <w:rPr>
          <w:i/>
          <w:iCs/>
          <w:sz w:val="22"/>
          <w:szCs w:val="22"/>
        </w:rPr>
      </w:pPr>
      <w:r>
        <w:rPr>
          <w:b/>
          <w:bCs/>
          <w:sz w:val="22"/>
          <w:szCs w:val="22"/>
        </w:rPr>
        <w:t>HDT :</w:t>
      </w:r>
      <w:r>
        <w:rPr>
          <w:sz w:val="22"/>
          <w:szCs w:val="22"/>
        </w:rPr>
        <w:t xml:space="preserve"> Harmonisation des données et des outils : </w:t>
      </w:r>
      <w:r>
        <w:rPr>
          <w:i/>
          <w:iCs/>
          <w:sz w:val="22"/>
          <w:szCs w:val="22"/>
        </w:rPr>
        <w:t>Une équipe au sein du RRDS Canada</w:t>
      </w:r>
    </w:p>
    <w:p w14:paraId="00000018" w14:textId="77777777" w:rsidR="00E22501" w:rsidRDefault="00000000">
      <w:pPr>
        <w:spacing w:after="0" w:line="276" w:lineRule="auto"/>
        <w:rPr>
          <w:sz w:val="22"/>
          <w:szCs w:val="22"/>
        </w:rPr>
      </w:pPr>
      <w:r>
        <w:rPr>
          <w:b/>
          <w:bCs/>
          <w:sz w:val="22"/>
          <w:szCs w:val="22"/>
        </w:rPr>
        <w:t>ICIS :</w:t>
      </w:r>
      <w:r>
        <w:rPr>
          <w:sz w:val="22"/>
          <w:szCs w:val="22"/>
        </w:rPr>
        <w:t xml:space="preserve"> Institut canadien d’information sur la santé</w:t>
      </w:r>
    </w:p>
    <w:p w14:paraId="00000019" w14:textId="77777777" w:rsidR="00E22501"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0000001A" w14:textId="77777777" w:rsidR="00E22501" w:rsidRDefault="00000000">
      <w:pPr>
        <w:spacing w:after="0" w:line="276" w:lineRule="auto"/>
        <w:rPr>
          <w:sz w:val="22"/>
          <w:szCs w:val="22"/>
        </w:rPr>
      </w:pPr>
      <w:r>
        <w:rPr>
          <w:b/>
          <w:bCs/>
          <w:sz w:val="22"/>
          <w:szCs w:val="22"/>
        </w:rPr>
        <w:t>IDT :</w:t>
      </w:r>
      <w:r>
        <w:rPr>
          <w:sz w:val="22"/>
          <w:szCs w:val="22"/>
        </w:rPr>
        <w:t xml:space="preserve"> Équipe des données sur les Autochtones</w:t>
      </w:r>
    </w:p>
    <w:p w14:paraId="0000001B" w14:textId="77777777" w:rsidR="00E22501"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0000001C" w14:textId="77777777" w:rsidR="00E22501" w:rsidRDefault="00000000">
      <w:pPr>
        <w:spacing w:after="0" w:line="276" w:lineRule="auto"/>
        <w:rPr>
          <w:sz w:val="22"/>
          <w:szCs w:val="22"/>
        </w:rPr>
      </w:pPr>
      <w:r>
        <w:rPr>
          <w:b/>
          <w:bCs/>
          <w:sz w:val="22"/>
          <w:szCs w:val="22"/>
        </w:rPr>
        <w:t>MCD :</w:t>
      </w:r>
      <w:r>
        <w:rPr>
          <w:sz w:val="22"/>
          <w:szCs w:val="22"/>
        </w:rPr>
        <w:t xml:space="preserve"> Modèle de données commun</w:t>
      </w:r>
    </w:p>
    <w:p w14:paraId="0000001D" w14:textId="77777777" w:rsidR="00E22501" w:rsidRDefault="00000000">
      <w:pPr>
        <w:spacing w:after="0" w:line="276" w:lineRule="auto"/>
        <w:rPr>
          <w:i/>
          <w:iCs/>
          <w:sz w:val="22"/>
          <w:szCs w:val="22"/>
        </w:rPr>
      </w:pPr>
      <w:r>
        <w:rPr>
          <w:b/>
          <w:bCs/>
          <w:sz w:val="22"/>
          <w:szCs w:val="22"/>
        </w:rPr>
        <w:t>OMOP :</w:t>
      </w:r>
      <w:r>
        <w:rPr>
          <w:sz w:val="22"/>
          <w:szCs w:val="22"/>
        </w:rPr>
        <w:t xml:space="preserve"> Observational Medical Outcomes Partnership (partenariat pour l’observation des résultats médicaux) : </w:t>
      </w:r>
      <w:r>
        <w:rPr>
          <w:i/>
          <w:iCs/>
          <w:sz w:val="22"/>
          <w:szCs w:val="22"/>
        </w:rPr>
        <w:t>Un modèle de données commun largement utilisé que le RRDS Canada est en train de mettre en œuvre</w:t>
      </w:r>
    </w:p>
    <w:p w14:paraId="0000001E" w14:textId="77777777" w:rsidR="00E22501"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Une équipe au sein du RRDS Canada</w:t>
      </w:r>
    </w:p>
    <w:p w14:paraId="0000001F" w14:textId="77777777" w:rsidR="00E22501"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00000020" w14:textId="77777777" w:rsidR="00E22501" w:rsidRDefault="00000000">
      <w:pPr>
        <w:spacing w:after="0" w:line="276" w:lineRule="auto"/>
        <w:rPr>
          <w:b/>
          <w:bCs/>
          <w:sz w:val="22"/>
          <w:szCs w:val="22"/>
        </w:r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p>
    <w:p w14:paraId="00000021" w14:textId="77777777" w:rsidR="00E22501" w:rsidRDefault="00000000">
      <w:pPr>
        <w:spacing w:after="0" w:line="240" w:lineRule="auto"/>
        <w:rPr>
          <w:b/>
          <w:bCs/>
          <w:sz w:val="22"/>
          <w:szCs w:val="22"/>
        </w:rPr>
        <w:sectPr w:rsidR="00E22501">
          <w:footerReference w:type="even" r:id="rId8"/>
          <w:footerReference w:type="default" r:id="rId9"/>
          <w:footerReference w:type="first" r:id="rId10"/>
          <w:pgSz w:w="12240" w:h="15840"/>
          <w:pgMar w:top="1440" w:right="1080" w:bottom="1440" w:left="1080" w:header="0" w:footer="964" w:gutter="0"/>
          <w:pgNumType w:start="1"/>
          <w:cols w:space="720"/>
          <w:titlePg/>
        </w:sectPr>
      </w:pPr>
      <w:r>
        <w:br w:type="page"/>
      </w:r>
    </w:p>
    <w:p w14:paraId="00000022" w14:textId="77777777" w:rsidR="00E22501" w:rsidRDefault="00000000">
      <w:pPr>
        <w:pStyle w:val="Heading1"/>
        <w:spacing w:after="40"/>
      </w:pPr>
      <w:bookmarkStart w:id="0" w:name="_heading=h.q5m99axtk1t8" w:colFirst="0" w:colLast="0"/>
      <w:bookmarkEnd w:id="0"/>
      <w:r>
        <w:lastRenderedPageBreak/>
        <w:t>Section 1 : Tableau de bord des indicateurs de performance organisationnelle</w:t>
      </w:r>
    </w:p>
    <w:p w14:paraId="00000023" w14:textId="77777777" w:rsidR="00E22501" w:rsidRDefault="00000000">
      <w:pPr>
        <w:spacing w:after="0" w:line="240" w:lineRule="auto"/>
        <w:jc w:val="center"/>
        <w:rPr>
          <w:sz w:val="22"/>
          <w:szCs w:val="22"/>
        </w:rPr>
      </w:pPr>
      <w:r>
        <w:rPr>
          <w:b/>
          <w:bCs/>
          <w:sz w:val="22"/>
          <w:szCs w:val="22"/>
        </w:rPr>
        <w:t xml:space="preserve">Remarque : </w:t>
      </w:r>
      <w:r>
        <w:rPr>
          <w:sz w:val="22"/>
          <w:szCs w:val="22"/>
        </w:rPr>
        <w:t>Les indicateurs sont mis à jour chaque trimestre. Les initiatives en cours ou nouvelles sont indiquées entre crochets.</w:t>
      </w:r>
    </w:p>
    <w:p w14:paraId="00000024" w14:textId="77777777" w:rsidR="00E22501" w:rsidRDefault="00000000">
      <w:pPr>
        <w:spacing w:after="0" w:line="240" w:lineRule="auto"/>
        <w:jc w:val="center"/>
        <w:rPr>
          <w:sz w:val="22"/>
          <w:szCs w:val="22"/>
        </w:rPr>
        <w:sectPr w:rsidR="00E22501">
          <w:footerReference w:type="default" r:id="rId11"/>
          <w:pgSz w:w="12240" w:h="15840"/>
          <w:pgMar w:top="1440" w:right="1080" w:bottom="1440" w:left="1080" w:header="0" w:footer="0" w:gutter="0"/>
          <w:pgNumType w:start="3"/>
          <w:cols w:space="720"/>
        </w:sectPr>
      </w:pPr>
      <w:r>
        <w:rPr>
          <w:noProof/>
          <w:sz w:val="22"/>
          <w:szCs w:val="22"/>
        </w:rPr>
        <w:drawing>
          <wp:inline distT="114300" distB="114300" distL="114300" distR="114300">
            <wp:extent cx="5541150" cy="7167563"/>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541150" cy="7167563"/>
                    </a:xfrm>
                    <a:prstGeom prst="rect">
                      <a:avLst/>
                    </a:prstGeom>
                    <a:ln/>
                  </pic:spPr>
                </pic:pic>
              </a:graphicData>
            </a:graphic>
          </wp:inline>
        </w:drawing>
      </w:r>
    </w:p>
    <w:p w14:paraId="00000025" w14:textId="77777777" w:rsidR="00E22501" w:rsidRDefault="00000000">
      <w:pPr>
        <w:pStyle w:val="Heading1"/>
      </w:pPr>
      <w:bookmarkStart w:id="1" w:name="_heading=h.lbymh9xs4iud" w:colFirst="0" w:colLast="0"/>
      <w:bookmarkEnd w:id="1"/>
      <w:r>
        <w:lastRenderedPageBreak/>
        <w:t>Section 2 : Principales réalisations concernant les engagements stratégiques</w:t>
      </w:r>
    </w:p>
    <w:p w14:paraId="00000026" w14:textId="77777777" w:rsidR="00E22501" w:rsidRDefault="00000000">
      <w:pPr>
        <w:pStyle w:val="Heading2"/>
        <w:spacing w:before="200"/>
      </w:pPr>
      <w:bookmarkStart w:id="2" w:name="_heading=h.hu2dhbfygn6j" w:colFirst="0" w:colLast="0"/>
      <w:bookmarkEnd w:id="2"/>
      <w:r>
        <w:t>Objectif 1 : Développer et améliorer les services et le soutien à l’accès aux données</w:t>
      </w:r>
    </w:p>
    <w:p w14:paraId="00000027" w14:textId="77777777" w:rsidR="00E22501" w:rsidRDefault="00000000">
      <w:pPr>
        <w:pStyle w:val="Heading3"/>
        <w:spacing w:before="200" w:after="200"/>
      </w:pPr>
      <w:bookmarkStart w:id="3" w:name="_heading=h.ki244rxrreqi" w:colFirst="0" w:colLast="0"/>
      <w:bookmarkEnd w:id="3"/>
      <w:r>
        <w:t>Équipe du GSAD</w:t>
      </w:r>
    </w:p>
    <w:p w14:paraId="00000028" w14:textId="77777777" w:rsidR="00E22501" w:rsidRDefault="00000000">
      <w:pPr>
        <w:numPr>
          <w:ilvl w:val="0"/>
          <w:numId w:val="14"/>
        </w:numPr>
        <w:spacing w:after="0"/>
        <w:ind w:left="360"/>
        <w:rPr>
          <w:color w:val="000000"/>
        </w:rPr>
      </w:pPr>
      <w:r>
        <w:t xml:space="preserve">En octobre 2025, lors d’une réunion en personne, l’équipe du GSAD a discuté de la structure et de l’avenir des services intégrés (GSAD et CAN-ASK). L’équipe a analysé l’expérience client sous différents angles. Un groupe de travail restreint élabore actuellement un plan de service à des fins de révision. </w:t>
      </w:r>
    </w:p>
    <w:p w14:paraId="00000029" w14:textId="77777777" w:rsidR="00E22501" w:rsidRDefault="00000000">
      <w:pPr>
        <w:numPr>
          <w:ilvl w:val="0"/>
          <w:numId w:val="14"/>
        </w:numPr>
        <w:spacing w:after="0"/>
        <w:ind w:left="360"/>
        <w:rPr>
          <w:color w:val="000000"/>
        </w:rPr>
      </w:pPr>
      <w:r>
        <w:t xml:space="preserve">Les Heures de bureau continuent d’offrir des entretiens individuels avec des experts du RRDS Canada aux chercheurs qui souhaitent obtenir des conseils sur l’accès aux données et la planification. </w:t>
      </w:r>
    </w:p>
    <w:p w14:paraId="0000002A" w14:textId="77777777" w:rsidR="00E22501" w:rsidRDefault="00000000">
      <w:pPr>
        <w:numPr>
          <w:ilvl w:val="0"/>
          <w:numId w:val="14"/>
        </w:numPr>
        <w:spacing w:after="0"/>
        <w:ind w:left="360"/>
        <w:rPr>
          <w:color w:val="000000"/>
        </w:rPr>
      </w:pPr>
      <w:r>
        <w:t>Deux webinaires du GSAD ont été présentés en décembre, dont un en collaboration avec DataNB.</w:t>
      </w:r>
    </w:p>
    <w:p w14:paraId="0000002B" w14:textId="77777777" w:rsidR="00E22501" w:rsidRDefault="00000000">
      <w:pPr>
        <w:numPr>
          <w:ilvl w:val="0"/>
          <w:numId w:val="14"/>
        </w:numPr>
        <w:spacing w:after="0"/>
        <w:ind w:left="360"/>
        <w:rPr>
          <w:color w:val="000000"/>
        </w:rPr>
      </w:pPr>
      <w:r>
        <w:t xml:space="preserve">L’équipe organise des consultations annuelles avec les organismes membres afin de mieux comprendre et documenter leurs processus d’accès aux données. Ces travaux serviront de base aux nouvelles versions du portail et de ses outils, ainsi qu’aux ressources destinées à aider les clients. </w:t>
      </w:r>
    </w:p>
    <w:p w14:paraId="0000002C" w14:textId="77777777" w:rsidR="00E22501" w:rsidRDefault="00000000">
      <w:pPr>
        <w:pStyle w:val="Heading3"/>
        <w:spacing w:before="200" w:after="200"/>
      </w:pPr>
      <w:bookmarkStart w:id="4" w:name="_heading=h.ozzb0gtdlqdr" w:colFirst="0" w:colLast="0"/>
      <w:bookmarkEnd w:id="4"/>
      <w:r>
        <w:t>Gestion des projets du GSAD</w:t>
      </w:r>
    </w:p>
    <w:p w14:paraId="0000002D" w14:textId="77777777" w:rsidR="00E22501" w:rsidRDefault="00000000">
      <w:pPr>
        <w:numPr>
          <w:ilvl w:val="0"/>
          <w:numId w:val="5"/>
        </w:numPr>
        <w:spacing w:after="200"/>
        <w:ind w:left="360" w:right="-90"/>
        <w:rPr>
          <w:color w:val="000000"/>
        </w:rPr>
      </w:pPr>
      <w:r>
        <w:t xml:space="preserve">À ce jour, 14 projets ont été achevés et 3 autres sont en voie de l’être. À l’heure actuelle, le GSAD compte 25 projets en cours, dont 16 ont atteint ou dépassé l’étape de la demande d’accès aux données. </w:t>
      </w:r>
    </w:p>
    <w:p w14:paraId="0000002E" w14:textId="77777777" w:rsidR="00E22501" w:rsidRDefault="00000000">
      <w:pPr>
        <w:pStyle w:val="Heading2"/>
        <w:spacing w:before="200"/>
      </w:pPr>
      <w:bookmarkStart w:id="5" w:name="_heading=h.z89oajqwn1c4" w:colFirst="0" w:colLast="0"/>
      <w:bookmarkEnd w:id="5"/>
      <w:r>
        <w:t>Objectif 2 : Diversifier et harmoniser les données, et soutenir une utilisation des données innovante et respectueuse de la vie privée</w:t>
      </w:r>
    </w:p>
    <w:p w14:paraId="0000002F" w14:textId="77777777" w:rsidR="00E22501" w:rsidRDefault="00000000">
      <w:pPr>
        <w:pStyle w:val="Heading3"/>
        <w:spacing w:before="200" w:after="200"/>
      </w:pPr>
      <w:bookmarkStart w:id="6" w:name="_heading=h.75dyxx3xf6al" w:colFirst="0" w:colLast="0"/>
      <w:bookmarkEnd w:id="6"/>
      <w:r>
        <w:t>Élaboration de nouvelles méthodes d’analyse distribuée</w:t>
      </w:r>
    </w:p>
    <w:p w14:paraId="00000030" w14:textId="77777777" w:rsidR="00E22501" w:rsidRDefault="00000000">
      <w:pPr>
        <w:numPr>
          <w:ilvl w:val="0"/>
          <w:numId w:val="10"/>
        </w:numPr>
        <w:pBdr>
          <w:top w:val="nil"/>
          <w:left w:val="nil"/>
          <w:bottom w:val="nil"/>
          <w:right w:val="nil"/>
          <w:between w:val="nil"/>
        </w:pBdr>
        <w:spacing w:after="0"/>
      </w:pPr>
      <w:bookmarkStart w:id="7" w:name="_heading=h.vuae7bnr7u9p" w:colFirst="0" w:colLast="0"/>
      <w:bookmarkEnd w:id="7"/>
      <w:r>
        <w:t>Deux réunions ont eu lieu avec des équipes de recherche qui ont officiellement demandé à utiliser l’analyse distribuée dans le cadre de leurs projets du GSAD.</w:t>
      </w:r>
    </w:p>
    <w:p w14:paraId="00000031" w14:textId="77777777" w:rsidR="00E22501" w:rsidRDefault="00000000">
      <w:pPr>
        <w:numPr>
          <w:ilvl w:val="0"/>
          <w:numId w:val="10"/>
        </w:numPr>
        <w:pBdr>
          <w:top w:val="nil"/>
          <w:left w:val="nil"/>
          <w:bottom w:val="nil"/>
          <w:right w:val="nil"/>
          <w:between w:val="nil"/>
        </w:pBdr>
        <w:spacing w:after="0"/>
      </w:pPr>
      <w:bookmarkStart w:id="8" w:name="_heading=h.nb7u8aelkqdj" w:colFirst="0" w:colLast="0"/>
      <w:bookmarkEnd w:id="8"/>
      <w:r>
        <w:lastRenderedPageBreak/>
        <w:t xml:space="preserve">Nous en sommes actuellement à l’étape de collecte des données en vue d’une comparaison officielle entre une analyse distribuée au moyen du modèle de régression de Cox (survie) et un projet de méta-analyse s’appuyant sur une étude existante du GSAD. Ce projet nécessite des simulations (en cours), car nous n’avons pas accès à la version regroupée des données à des fins de comparaison. Les résultats de ce projet aideront les chercheurs à mieux comprendre les conséquences de l’utilisation de la méthode de régression de Cox par rapport à la méta-analyse. </w:t>
      </w:r>
    </w:p>
    <w:p w14:paraId="00000032" w14:textId="77777777" w:rsidR="00E22501" w:rsidRDefault="00000000">
      <w:pPr>
        <w:numPr>
          <w:ilvl w:val="0"/>
          <w:numId w:val="10"/>
        </w:numPr>
        <w:pBdr>
          <w:top w:val="nil"/>
          <w:left w:val="nil"/>
          <w:bottom w:val="nil"/>
          <w:right w:val="nil"/>
          <w:between w:val="nil"/>
        </w:pBdr>
        <w:spacing w:before="200" w:after="200"/>
      </w:pPr>
      <w:bookmarkStart w:id="9" w:name="_heading=h.je8o2k22l695" w:colFirst="0" w:colLast="0"/>
      <w:bookmarkEnd w:id="9"/>
      <w:r>
        <w:t xml:space="preserve">Un projet pilote d’analyse distribuée utilisant les données détenues par Statistique Canada est également bien avancé. </w:t>
      </w:r>
    </w:p>
    <w:p w14:paraId="00000033" w14:textId="77777777" w:rsidR="00E22501" w:rsidRDefault="00000000">
      <w:pPr>
        <w:pStyle w:val="Heading3"/>
        <w:spacing w:before="200" w:after="200"/>
      </w:pPr>
      <w:bookmarkStart w:id="10" w:name="_heading=h.dfknyw9yrhhq" w:colFirst="0" w:colLast="0"/>
      <w:bookmarkEnd w:id="10"/>
      <w:r>
        <w:t>Outil d’apprentissage automatique MASK pour la dépersonnalisation des données : rendement élevé et constant, quel que soit le site ou le type de données</w:t>
      </w:r>
    </w:p>
    <w:p w14:paraId="00000034" w14:textId="77777777" w:rsidR="00E22501" w:rsidRDefault="00000000">
      <w:pPr>
        <w:numPr>
          <w:ilvl w:val="0"/>
          <w:numId w:val="10"/>
        </w:numPr>
        <w:spacing w:after="0"/>
      </w:pPr>
      <w:bookmarkStart w:id="11" w:name="_heading=h.nu8ka4v335c8" w:colFirst="0" w:colLast="0"/>
      <w:bookmarkEnd w:id="11"/>
      <w:r>
        <w:t>L’Ontario et le Manitoba ont confirmé la stabilité et la fiabilité de l’outil MASK pour la dépersonnalisation des données en texte libre dans différents échantillons de notes cliniques. Le modèle a été mis à l’essai et entraîné au moyen d’une quintuple validation croisée. Ces conclusions s’ajoutent aux excellents résultats déjà communiqués à l’issue de la phase initiale d’entraînement et de mise à l’essai. L’Alberta poursuit son travail d’annotation des données.</w:t>
      </w:r>
    </w:p>
    <w:p w14:paraId="00000035" w14:textId="77777777" w:rsidR="00E22501" w:rsidRDefault="00000000">
      <w:pPr>
        <w:numPr>
          <w:ilvl w:val="0"/>
          <w:numId w:val="10"/>
        </w:numPr>
        <w:spacing w:after="0"/>
      </w:pPr>
      <w:r>
        <w:t>Des mesures de protection de la vie privée et des bases techniques pour l’apprentissage fédéré sont actuellement mises en place au Manitoba, en Ontario et en Alberta afin de permettre l’entraînement sécurisé d’un modèle multisite, tout en conservant les données sensibles au sein de chaque autorité compétente.</w:t>
      </w:r>
    </w:p>
    <w:p w14:paraId="00000036" w14:textId="77777777" w:rsidR="00E22501" w:rsidRDefault="00000000">
      <w:pPr>
        <w:numPr>
          <w:ilvl w:val="0"/>
          <w:numId w:val="10"/>
        </w:numPr>
        <w:spacing w:after="0"/>
      </w:pPr>
      <w:r>
        <w:t>Un résumé décrivant ces travaux a été soumis en vue d’une présentation lors de la conférence 2026 de l’International Population Data Linkage Network (IPDLN).</w:t>
      </w:r>
    </w:p>
    <w:p w14:paraId="00000037" w14:textId="77777777" w:rsidR="00E22501" w:rsidRDefault="00000000">
      <w:pPr>
        <w:pStyle w:val="Heading3"/>
        <w:spacing w:before="200" w:after="200"/>
      </w:pPr>
      <w:bookmarkStart w:id="12" w:name="_heading=h.t7sfp3zcn6i5" w:colFirst="0" w:colLast="0"/>
      <w:bookmarkEnd w:id="12"/>
      <w:r>
        <w:lastRenderedPageBreak/>
        <w:t xml:space="preserve">Progression de la mise en correspondance du vocabulaire canadien afin de soutenir la mise en œuvre du modèle de données commun de l’Observational Medical Outcomes Partnership (OMOP) dans l’ensemble du RRDS Canada et au-delà </w:t>
      </w:r>
    </w:p>
    <w:p w14:paraId="00000038" w14:textId="77777777" w:rsidR="00E22501" w:rsidRDefault="00000000">
      <w:pPr>
        <w:numPr>
          <w:ilvl w:val="0"/>
          <w:numId w:val="10"/>
        </w:numPr>
        <w:spacing w:after="0"/>
      </w:pPr>
      <w:r>
        <w:t xml:space="preserve">Cinq autorités compétentes (Ontario, Colombie-Britannique, Nouvelle-Écosse, Nouveau-Brunswick et Île-du-Prince-Édouard) ont achevé la mise en correspondance de tous les codes de diagnostic de la CIM-10-CA et de la CIM-9 avec les deux indices de comorbidité les plus courants, soit l’indice de Charlson et l’indice d’Elixhauser. Une étude de validation de ces mises en correspondance est en cours. Ces correspondances réutilisables traduisent la terminologie clinique canadienne en concepts normalisés de l’OMOP et constituent une condition préalable à la mise en œuvre du modèle de données commun. Elles garantissent que les données provenant de différents systèmes et autorités compétentes ont la même signification. Ce travail contribuera à la mise en œuvre de l’OMOP dans l’ensemble des sites du RRDS Canada et par d’autres organismes et équipes de recherche au Canada. </w:t>
      </w:r>
    </w:p>
    <w:p w14:paraId="00000039" w14:textId="77777777" w:rsidR="00E22501" w:rsidRDefault="00000000">
      <w:pPr>
        <w:numPr>
          <w:ilvl w:val="0"/>
          <w:numId w:val="10"/>
        </w:numPr>
        <w:spacing w:after="0"/>
      </w:pPr>
      <w:r>
        <w:t xml:space="preserve">Un résumé de ces travaux a été soumis à la conférence 2026 de l’IPDLN. </w:t>
      </w:r>
    </w:p>
    <w:p w14:paraId="0000003A" w14:textId="77777777" w:rsidR="00E22501" w:rsidRDefault="00000000">
      <w:pPr>
        <w:numPr>
          <w:ilvl w:val="0"/>
          <w:numId w:val="10"/>
        </w:numPr>
        <w:spacing w:after="0"/>
      </w:pPr>
      <w:r>
        <w:t>L’équipe coordonne activement la mise en correspondance du vocabulaire entre plusieurs établissements et équipes du Canada et les bases de données de l’OMOP, afin de réduire les doublons, de partager les ressources, d’améliorer la qualité de la mise en correspondance et d’accélérer la mise en œuvre de l’OMOP à l’échelle nationale.</w:t>
      </w:r>
    </w:p>
    <w:p w14:paraId="0000003B" w14:textId="77777777" w:rsidR="00E22501" w:rsidRDefault="00000000">
      <w:pPr>
        <w:pStyle w:val="Heading3"/>
        <w:spacing w:after="200"/>
      </w:pPr>
      <w:bookmarkStart w:id="13" w:name="_heading=h.keoqzez7z5w7" w:colFirst="0" w:colLast="0"/>
      <w:bookmarkEnd w:id="13"/>
      <w:r>
        <w:t>Développement des données et des services</w:t>
      </w:r>
    </w:p>
    <w:p w14:paraId="0000003C" w14:textId="77777777" w:rsidR="00E22501" w:rsidRDefault="00000000">
      <w:pPr>
        <w:numPr>
          <w:ilvl w:val="0"/>
          <w:numId w:val="10"/>
        </w:numPr>
        <w:pBdr>
          <w:top w:val="nil"/>
          <w:left w:val="nil"/>
          <w:bottom w:val="nil"/>
          <w:right w:val="nil"/>
          <w:between w:val="nil"/>
        </w:pBdr>
        <w:spacing w:after="0"/>
      </w:pPr>
      <w:bookmarkStart w:id="14" w:name="_heading=h.vp25izu9dxme" w:colFirst="0" w:colLast="0"/>
      <w:bookmarkEnd w:id="14"/>
      <w:r>
        <w:t>Notre partenaire québécois offre pour la première fois l’accès aux données de Revenu Québec par l’intermédiaire du RRDS Canada.</w:t>
      </w:r>
    </w:p>
    <w:p w14:paraId="0000003D" w14:textId="77777777" w:rsidR="00E22501" w:rsidRDefault="00000000">
      <w:pPr>
        <w:numPr>
          <w:ilvl w:val="0"/>
          <w:numId w:val="10"/>
        </w:numPr>
        <w:pBdr>
          <w:top w:val="nil"/>
          <w:left w:val="nil"/>
          <w:bottom w:val="nil"/>
          <w:right w:val="nil"/>
          <w:between w:val="nil"/>
        </w:pBdr>
        <w:spacing w:after="0"/>
      </w:pPr>
      <w:bookmarkStart w:id="15" w:name="_heading=h.i18l6pchzmwl" w:colFirst="0" w:colLast="0"/>
      <w:bookmarkEnd w:id="15"/>
      <w:r>
        <w:t>La Saskatchewan offre désormais aux chercheurs la possibilité de coupler un ensemble de données externes (p. ex. des données de sondage qu’ils ont recueillies) aux données recueillies de façon systématique par un centre de données.</w:t>
      </w:r>
    </w:p>
    <w:p w14:paraId="0000003E" w14:textId="77777777" w:rsidR="00E22501" w:rsidRDefault="00000000">
      <w:pPr>
        <w:pStyle w:val="Heading3"/>
        <w:spacing w:before="200" w:after="200"/>
      </w:pPr>
      <w:bookmarkStart w:id="16" w:name="_heading=h.6jnuztmqhxdu" w:colFirst="0" w:colLast="0"/>
      <w:bookmarkEnd w:id="16"/>
      <w:r>
        <w:lastRenderedPageBreak/>
        <w:t>Étape importante pour les modèles de données communs</w:t>
      </w:r>
    </w:p>
    <w:p w14:paraId="0000003F" w14:textId="77777777" w:rsidR="00E22501" w:rsidRDefault="00000000">
      <w:pPr>
        <w:numPr>
          <w:ilvl w:val="0"/>
          <w:numId w:val="10"/>
        </w:numPr>
        <w:pBdr>
          <w:top w:val="nil"/>
          <w:left w:val="nil"/>
          <w:bottom w:val="nil"/>
          <w:right w:val="nil"/>
          <w:between w:val="nil"/>
        </w:pBdr>
        <w:spacing w:after="0"/>
      </w:pPr>
      <w:bookmarkStart w:id="17" w:name="_heading=h.dr9bh469jj0e" w:colFirst="0" w:colLast="0"/>
      <w:bookmarkEnd w:id="17"/>
      <w:r>
        <w:t>Nous avons réalisé une étude comparant les résultats obtenus à l’aide des données « originales » et des données harmonisées au format du modèle de données commun de l’OMOP.</w:t>
      </w:r>
    </w:p>
    <w:p w14:paraId="00000040" w14:textId="77777777" w:rsidR="00E22501" w:rsidRDefault="00000000">
      <w:pPr>
        <w:numPr>
          <w:ilvl w:val="0"/>
          <w:numId w:val="10"/>
        </w:numPr>
        <w:pBdr>
          <w:top w:val="nil"/>
          <w:left w:val="nil"/>
          <w:bottom w:val="nil"/>
          <w:right w:val="nil"/>
          <w:between w:val="nil"/>
        </w:pBdr>
        <w:spacing w:after="0"/>
      </w:pPr>
      <w:bookmarkStart w:id="18" w:name="_heading=h.pg3qazf5r8hb" w:colFirst="0" w:colLast="0"/>
      <w:bookmarkEnd w:id="18"/>
      <w:r>
        <w:t>L’étude a montré une parfaite concordance entre les deux, et un temps d’analyse beaucoup plus rapide en utilisant le modèle de données commun.</w:t>
      </w:r>
    </w:p>
    <w:p w14:paraId="00000041" w14:textId="77777777" w:rsidR="00E22501" w:rsidRDefault="00000000">
      <w:pPr>
        <w:numPr>
          <w:ilvl w:val="0"/>
          <w:numId w:val="10"/>
        </w:numPr>
        <w:pBdr>
          <w:top w:val="nil"/>
          <w:left w:val="nil"/>
          <w:bottom w:val="nil"/>
          <w:right w:val="nil"/>
          <w:between w:val="nil"/>
        </w:pBdr>
        <w:spacing w:after="200"/>
      </w:pPr>
      <w:bookmarkStart w:id="19" w:name="_heading=h.of41lpn37lk3" w:colFirst="0" w:colLast="0"/>
      <w:bookmarkEnd w:id="19"/>
      <w:r>
        <w:t xml:space="preserve">Il s’agissait d’une étude limitée de petite envergure, mais elle confirme qu’il serait pertinent de poursuivre le développement de modèles de données comme étape majeure de la recherche multirégionale.  </w:t>
      </w:r>
    </w:p>
    <w:p w14:paraId="00000042" w14:textId="77777777" w:rsidR="00E22501" w:rsidRDefault="00000000">
      <w:pPr>
        <w:pStyle w:val="Heading2"/>
        <w:spacing w:before="200"/>
      </w:pPr>
      <w:bookmarkStart w:id="20" w:name="_heading=h.5pdtjiyk28it" w:colFirst="0" w:colLast="0"/>
      <w:bookmarkEnd w:id="20"/>
      <w:r>
        <w:t>Objectif 3 : Établir et renforcer les partenariats et faire preuve de leadership dans l’évolution des pratiques en matière de données</w:t>
      </w:r>
    </w:p>
    <w:p w14:paraId="00000043" w14:textId="77777777" w:rsidR="00E22501" w:rsidRDefault="00000000">
      <w:pPr>
        <w:pStyle w:val="Heading3"/>
        <w:spacing w:before="200" w:after="200"/>
      </w:pPr>
      <w:bookmarkStart w:id="21" w:name="_heading=h.k8tg2099kxtr" w:colFirst="0" w:colLast="0"/>
      <w:bookmarkEnd w:id="21"/>
      <w:r>
        <w:t>Plan de collaboration élaboré avec des partenaires internationaux</w:t>
      </w:r>
    </w:p>
    <w:p w14:paraId="00000044" w14:textId="77777777" w:rsidR="00E22501" w:rsidRDefault="00000000">
      <w:pPr>
        <w:numPr>
          <w:ilvl w:val="0"/>
          <w:numId w:val="7"/>
        </w:numPr>
        <w:tabs>
          <w:tab w:val="left" w:pos="461"/>
          <w:tab w:val="left" w:pos="461"/>
          <w:tab w:val="left" w:pos="461"/>
          <w:tab w:val="left" w:pos="461"/>
          <w:tab w:val="left" w:pos="461"/>
          <w:tab w:val="left" w:pos="461"/>
          <w:tab w:val="left" w:pos="461"/>
          <w:tab w:val="left" w:pos="461"/>
        </w:tabs>
        <w:spacing w:after="0"/>
        <w:ind w:left="360"/>
      </w:pPr>
      <w:r>
        <w:t>Nous collaborons déjà avec des partenaires internationaux (Health Data Research UK [HDR UK] et Administrative Data Research UK [ADR UK] au Royaume-Uni, et le Population Health Research Network [PHRN] en Australie) à des projets concernant des domaines d’intérêt communs, qui cadrent tous avec nos priorités stratégiques, notamment l’harmonisation des données, l’acceptabilité sociale de l’utilisation des données, et le développement d’outils facilitant leur utilisation.</w:t>
      </w:r>
    </w:p>
    <w:p w14:paraId="00000045" w14:textId="77777777" w:rsidR="00E22501" w:rsidRDefault="00000000">
      <w:pPr>
        <w:numPr>
          <w:ilvl w:val="0"/>
          <w:numId w:val="7"/>
        </w:numPr>
        <w:tabs>
          <w:tab w:val="left" w:pos="461"/>
          <w:tab w:val="left" w:pos="461"/>
          <w:tab w:val="left" w:pos="461"/>
          <w:tab w:val="left" w:pos="461"/>
          <w:tab w:val="left" w:pos="461"/>
          <w:tab w:val="left" w:pos="461"/>
          <w:tab w:val="left" w:pos="461"/>
          <w:tab w:val="left" w:pos="461"/>
        </w:tabs>
        <w:spacing w:after="0"/>
        <w:ind w:left="360"/>
      </w:pPr>
      <w:r>
        <w:t xml:space="preserve">Un article présentant les conclusions de l’atelier conjoint (entre le PHRN et le RRDS Canada) sur l’acceptabilité sociale, organisé dans le cadre de la conférence 2024 de l’IPDLN, a été soumis à la revue </w:t>
      </w:r>
      <w:r>
        <w:rPr>
          <w:i/>
          <w:iCs/>
        </w:rPr>
        <w:t>International Journal of Population Data Science</w:t>
      </w:r>
      <w:r>
        <w:t>.</w:t>
      </w:r>
    </w:p>
    <w:p w14:paraId="00000046" w14:textId="77777777" w:rsidR="00E22501" w:rsidRDefault="00000000">
      <w:pPr>
        <w:numPr>
          <w:ilvl w:val="0"/>
          <w:numId w:val="7"/>
        </w:numPr>
        <w:tabs>
          <w:tab w:val="left" w:pos="461"/>
          <w:tab w:val="left" w:pos="461"/>
          <w:tab w:val="left" w:pos="461"/>
          <w:tab w:val="left" w:pos="461"/>
          <w:tab w:val="left" w:pos="461"/>
          <w:tab w:val="left" w:pos="461"/>
          <w:tab w:val="left" w:pos="461"/>
          <w:tab w:val="left" w:pos="461"/>
        </w:tabs>
        <w:spacing w:after="0"/>
        <w:ind w:left="360"/>
      </w:pPr>
      <w:r>
        <w:t>Les premiers travaux visant à évaluer les possibilités de collaboration en matière d’IA dans les domaines de la mobilisation du grand public et des soins de santé ont débuté.</w:t>
      </w:r>
    </w:p>
    <w:p w14:paraId="00000047" w14:textId="77777777" w:rsidR="00E22501" w:rsidRDefault="00000000">
      <w:pPr>
        <w:pStyle w:val="Heading3"/>
        <w:spacing w:before="200" w:after="200"/>
      </w:pPr>
      <w:bookmarkStart w:id="22" w:name="_heading=h.sykzo1la5l0b" w:colFirst="0" w:colLast="0"/>
      <w:bookmarkEnd w:id="22"/>
      <w:r>
        <w:t>Collaboration pancanadienne de premier plan sur le modèle de données commun de l’OMOP</w:t>
      </w:r>
    </w:p>
    <w:p w14:paraId="00000048" w14:textId="77777777" w:rsidR="00E22501" w:rsidRDefault="00000000">
      <w:pPr>
        <w:numPr>
          <w:ilvl w:val="0"/>
          <w:numId w:val="13"/>
        </w:numPr>
        <w:spacing w:after="0"/>
        <w:rPr>
          <w:color w:val="000000"/>
        </w:rPr>
      </w:pPr>
      <w:r>
        <w:t xml:space="preserve">RRDS Canada a organisé la première rencontre pancanadienne sur le modèle de données commun de l’OMOP (les 17 et 18 novembre 2025 à Toronto) afin de mieux comprendre le paysage national de l’OMOP et de jeter les bases de la création d’une communauté </w:t>
      </w:r>
      <w:r>
        <w:lastRenderedPageBreak/>
        <w:t>canadienne de l’OMOP. Cette rencontre de 2 jours a réuni environ 90 participants issus des milieux universitaire et hospitalier, des gouvernements, des réseaux de recherche et du secteur privé, provenant de 5 provinces et de l’étranger. Il a donné lieu à des exposés d’experts, à une table ronde plénière, à des démonstrations d’outils et à des discussions animées sur les défis communs et les possibilités de collaboration. L’événement a été très bien accueilli, et le rôle moteur joué par la direction du RRDS Canada dans la mobilisation de la communauté a été vivement salué.</w:t>
      </w:r>
    </w:p>
    <w:p w14:paraId="00000049" w14:textId="77777777" w:rsidR="00E22501" w:rsidRDefault="00000000">
      <w:pPr>
        <w:numPr>
          <w:ilvl w:val="0"/>
          <w:numId w:val="13"/>
        </w:numPr>
        <w:spacing w:after="0"/>
        <w:rPr>
          <w:color w:val="000000"/>
        </w:rPr>
      </w:pPr>
      <w:r>
        <w:t>Il a servi de catalyseur à la création d’une section canadienne de la communauté axée sur la mise en œuvre et l’utilisation de l’OMOP et connue sous le nom d’Observational Health Data Sciences and Informatics (OHDSI). RRDS Canada assurera la coordination à l’échelle nationale et organisera des réunions et des discussions de suivi afin de définir le but, la structure de gouvernance, les objectifs et les résultats clés de la section canadienne.</w:t>
      </w:r>
    </w:p>
    <w:p w14:paraId="0000004A" w14:textId="77777777" w:rsidR="00E22501" w:rsidRDefault="00000000">
      <w:pPr>
        <w:pStyle w:val="Heading3"/>
        <w:spacing w:before="200" w:after="200"/>
      </w:pPr>
      <w:bookmarkStart w:id="23" w:name="_heading=h.mqv64zxk7yvy" w:colFirst="0" w:colLast="0"/>
      <w:bookmarkEnd w:id="23"/>
      <w:r>
        <w:t>Programme d’essais cliniques pragmatiques</w:t>
      </w:r>
    </w:p>
    <w:p w14:paraId="0000004B" w14:textId="77777777" w:rsidR="00E22501" w:rsidRDefault="00000000">
      <w:pPr>
        <w:numPr>
          <w:ilvl w:val="0"/>
          <w:numId w:val="4"/>
        </w:numPr>
        <w:tabs>
          <w:tab w:val="left" w:pos="360"/>
          <w:tab w:val="left" w:pos="360"/>
          <w:tab w:val="left" w:pos="360"/>
          <w:tab w:val="left" w:pos="360"/>
          <w:tab w:val="left" w:pos="360"/>
          <w:tab w:val="left" w:pos="360"/>
          <w:tab w:val="left" w:pos="360"/>
          <w:tab w:val="left" w:pos="360"/>
        </w:tabs>
        <w:spacing w:after="0"/>
        <w:ind w:left="360"/>
      </w:pPr>
      <w:r>
        <w:t>L’Université Western, en collaboration avec le RRDS Canada, organisera un programme local de leadership en matière d’essais cliniques. Ce nouveau programme rassemble un groupe restreint de cliniciens basés à London, en Ontario, prêts à transformer des questions cliniques importantes en essais cliniques pragmatiques ou traditionnels bien conçus et réalisables. Les participants sélectionnés bénéficieront de services complets liés aux essais cliniques et d’un soutien pédagogique, notamment en matière de méthodologie, d’épidémiologie et de statistiques, ainsi que d’un soutien pour la réalisation des essais et des offres de formation.</w:t>
      </w:r>
    </w:p>
    <w:p w14:paraId="0000004C" w14:textId="77777777" w:rsidR="00E22501" w:rsidRDefault="00000000">
      <w:pPr>
        <w:numPr>
          <w:ilvl w:val="0"/>
          <w:numId w:val="4"/>
        </w:numPr>
        <w:tabs>
          <w:tab w:val="left" w:pos="360"/>
          <w:tab w:val="left" w:pos="360"/>
          <w:tab w:val="left" w:pos="360"/>
          <w:tab w:val="left" w:pos="360"/>
          <w:tab w:val="left" w:pos="360"/>
          <w:tab w:val="left" w:pos="360"/>
          <w:tab w:val="left" w:pos="360"/>
          <w:tab w:val="left" w:pos="360"/>
        </w:tabs>
        <w:spacing w:after="0"/>
        <w:ind w:left="360"/>
      </w:pPr>
      <w:r>
        <w:t xml:space="preserve">Un spécialiste des essais cliniques du programme, auquel nous fournissons des services directs, </w:t>
      </w:r>
      <w:hyperlink r:id="rId13">
        <w:r>
          <w:rPr>
            <w:color w:val="1155CC"/>
            <w:u w:val="single"/>
          </w:rPr>
          <w:t>a obtenu un financement des IRSC</w:t>
        </w:r>
      </w:hyperlink>
      <w:r>
        <w:t xml:space="preserve"> pour mener à bien un essai randomisé, en ouvert, à deux bras, avec contrôle parallèle et basé sur un registre, visant à comparer les effets cliniques d’une nouvelle génération de filtres d’hémodialyse à ceux de l’hémodialyse traditionnelle. L’échantillon cible est d’environ 4 800 patients, et le critère d’évaluation principal est la mortalité toutes causes confondues. Plus de 200 patients ont été choisis au hasard lors de la phase préliminaire de cet essai, grâce à plusieurs mesures innovantes visant à simplifier le recrutement. </w:t>
      </w:r>
    </w:p>
    <w:p w14:paraId="0000004D" w14:textId="77777777" w:rsidR="00E22501" w:rsidRDefault="00000000">
      <w:pPr>
        <w:pStyle w:val="Heading3"/>
        <w:spacing w:before="200" w:after="200"/>
      </w:pPr>
      <w:bookmarkStart w:id="24" w:name="_heading=h.p9zcg67u0ggt" w:colFirst="0" w:colLast="0"/>
      <w:bookmarkEnd w:id="24"/>
      <w:r>
        <w:lastRenderedPageBreak/>
        <w:t>Alliance pour la recherche sur les données de santé</w:t>
      </w:r>
    </w:p>
    <w:p w14:paraId="0000004E" w14:textId="77777777" w:rsidR="00E22501" w:rsidRDefault="00000000">
      <w:pPr>
        <w:numPr>
          <w:ilvl w:val="0"/>
          <w:numId w:val="1"/>
        </w:numPr>
        <w:tabs>
          <w:tab w:val="left" w:pos="461"/>
          <w:tab w:val="left" w:pos="461"/>
          <w:tab w:val="left" w:pos="461"/>
          <w:tab w:val="left" w:pos="461"/>
          <w:tab w:val="left" w:pos="461"/>
          <w:tab w:val="left" w:pos="461"/>
          <w:tab w:val="left" w:pos="461"/>
          <w:tab w:val="left" w:pos="461"/>
        </w:tabs>
        <w:spacing w:after="0"/>
        <w:ind w:left="360"/>
        <w:rPr>
          <w:sz w:val="22"/>
          <w:szCs w:val="22"/>
        </w:rPr>
      </w:pPr>
      <w:r>
        <w:t>Les réunions du forum sur l’utilisation des données fédérées se sont poursuivies :</w:t>
      </w:r>
    </w:p>
    <w:p w14:paraId="0000004F" w14:textId="77777777" w:rsidR="00E22501"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 xml:space="preserve">Un conférencier invité de l’Université de Sheffield, au Royaume-Uni, a présenté un exposé ayant pour titre </w:t>
      </w:r>
      <w:r>
        <w:rPr>
          <w:i/>
          <w:iCs/>
        </w:rPr>
        <w:t>Reflections on the OMOP Common Data Model in Trusted Research Environment data preparation</w:t>
      </w:r>
      <w:r>
        <w:t xml:space="preserve">; le réseau VITAL de GEMINI (nouveau membre de l’Alliance pour la recherche sur les données de santé) a donné une présentation intitulée </w:t>
      </w:r>
      <w:r>
        <w:rPr>
          <w:i/>
          <w:iCs/>
        </w:rPr>
        <w:t>Harnessing clinical data for AI, trials and a Learning Health System – An overview of the VITAL Platform</w:t>
      </w:r>
      <w:r>
        <w:t>.</w:t>
      </w:r>
    </w:p>
    <w:p w14:paraId="00000050" w14:textId="77777777" w:rsidR="00E22501" w:rsidRDefault="00000000">
      <w:pPr>
        <w:numPr>
          <w:ilvl w:val="0"/>
          <w:numId w:val="1"/>
        </w:numPr>
        <w:tabs>
          <w:tab w:val="left" w:pos="461"/>
          <w:tab w:val="left" w:pos="461"/>
          <w:tab w:val="left" w:pos="461"/>
          <w:tab w:val="left" w:pos="461"/>
          <w:tab w:val="left" w:pos="461"/>
          <w:tab w:val="left" w:pos="461"/>
          <w:tab w:val="left" w:pos="461"/>
          <w:tab w:val="left" w:pos="461"/>
        </w:tabs>
        <w:spacing w:after="0"/>
        <w:ind w:left="360"/>
        <w:rPr>
          <w:sz w:val="22"/>
          <w:szCs w:val="22"/>
        </w:rPr>
      </w:pPr>
      <w:r>
        <w:t>Pour l’année 2026, la présidence de l’Alliance pour la recherche sur les données de santé est passée de l’Étude longitudinale canadienne sur le vieillissement (ÉLCV) au Réseau canadien pour l’étude observationnelle des médicaments (RCEOM). Les travaux se sont poursuivis dans le cadre de l’initiative visant à démontrer l’incidence sur l’organisation et la recherche. Cette initiative prévoit les trois résultats suivants :</w:t>
      </w:r>
    </w:p>
    <w:p w14:paraId="00000051" w14:textId="77777777" w:rsidR="00E22501"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Résultat 1 : Élaborer des tableaux répertoriant les répercussions concrètes des différents organismes membres, notamment les collaborations entre ceux-ci, à l’aide d’un cadre sur mesure qui tient compte du plan d’action de l’Alliance pour la recherche sur les données de santé et de la Déclaration sur l’évaluation de la recherche (DORA).</w:t>
      </w:r>
    </w:p>
    <w:p w14:paraId="00000052" w14:textId="77777777" w:rsidR="00E22501"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Résultat 2 : Créer un document qui analyse et présente les conclusions par thèmes selon les atouts collectifs et les possibilités de collaboration.</w:t>
      </w:r>
    </w:p>
    <w:p w14:paraId="00000053" w14:textId="77777777" w:rsidR="00E22501"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Résultat 3 : Élaborer une série de documents promotionnels qui présentent les atouts des membres de l’Alliance pour la recherche sur les données de santé, en accord avec les intérêts du gouvernement et des bailleurs de fonds.</w:t>
      </w:r>
    </w:p>
    <w:p w14:paraId="00000054" w14:textId="77777777" w:rsidR="00E22501" w:rsidRDefault="00000000">
      <w:pPr>
        <w:numPr>
          <w:ilvl w:val="1"/>
          <w:numId w:val="1"/>
        </w:numPr>
        <w:tabs>
          <w:tab w:val="left" w:pos="461"/>
          <w:tab w:val="left" w:pos="461"/>
          <w:tab w:val="left" w:pos="461"/>
          <w:tab w:val="left" w:pos="461"/>
          <w:tab w:val="left" w:pos="461"/>
          <w:tab w:val="left" w:pos="461"/>
          <w:tab w:val="left" w:pos="461"/>
          <w:tab w:val="left" w:pos="461"/>
        </w:tabs>
        <w:spacing w:after="0"/>
        <w:rPr>
          <w:sz w:val="22"/>
          <w:szCs w:val="22"/>
        </w:rPr>
      </w:pPr>
      <w:r>
        <w:t>Les membres ont terminé les tableaux relatifs au résultat 1, et le résultat 2 est en cours de réalisation; son achèvement est prévu pour le premier trimestre de 2026.</w:t>
      </w:r>
    </w:p>
    <w:p w14:paraId="00000055" w14:textId="77777777" w:rsidR="00E22501" w:rsidRDefault="00000000">
      <w:pPr>
        <w:pStyle w:val="Heading3"/>
        <w:spacing w:before="200" w:after="200"/>
      </w:pPr>
      <w:bookmarkStart w:id="25" w:name="_heading=h.m4r6qwhxlyv9" w:colFirst="0" w:colLast="0"/>
      <w:bookmarkEnd w:id="25"/>
      <w:r>
        <w:t>Poursuite de la collaboration avec les partenaires internationaux</w:t>
      </w:r>
    </w:p>
    <w:p w14:paraId="00000056" w14:textId="77777777" w:rsidR="00E22501" w:rsidRDefault="00000000">
      <w:pPr>
        <w:numPr>
          <w:ilvl w:val="0"/>
          <w:numId w:val="3"/>
        </w:numPr>
        <w:tabs>
          <w:tab w:val="left" w:pos="461"/>
          <w:tab w:val="left" w:pos="461"/>
          <w:tab w:val="left" w:pos="461"/>
          <w:tab w:val="left" w:pos="461"/>
          <w:tab w:val="left" w:pos="461"/>
          <w:tab w:val="left" w:pos="461"/>
          <w:tab w:val="left" w:pos="461"/>
          <w:tab w:val="left" w:pos="461"/>
        </w:tabs>
        <w:spacing w:after="0"/>
        <w:ind w:left="360"/>
      </w:pPr>
      <w:r>
        <w:t xml:space="preserve">Le comité de coordination des partenaires internationaux (le RRDS Canada, HDR UK, ADR UK et le PHRN) a poursuivi ses réunions mensuelles et proposé un plan de collaboration ainsi que des soumissions pour la conférence 2026 de l’IPDLN. Un ordre du </w:t>
      </w:r>
      <w:r>
        <w:lastRenderedPageBreak/>
        <w:t>jour récurrent a été mis en place afin de permettre aux membres de faire le point, de mettre en évidence les défis communs et de cerner les possibilités concrètes et à petite échelle de collaboration internationale.</w:t>
      </w:r>
    </w:p>
    <w:p w14:paraId="00000057" w14:textId="77777777" w:rsidR="00E22501" w:rsidRDefault="00000000">
      <w:pPr>
        <w:numPr>
          <w:ilvl w:val="0"/>
          <w:numId w:val="3"/>
        </w:numPr>
        <w:tabs>
          <w:tab w:val="left" w:pos="461"/>
          <w:tab w:val="left" w:pos="461"/>
          <w:tab w:val="left" w:pos="461"/>
          <w:tab w:val="left" w:pos="461"/>
          <w:tab w:val="left" w:pos="461"/>
          <w:tab w:val="left" w:pos="461"/>
          <w:tab w:val="left" w:pos="461"/>
          <w:tab w:val="left" w:pos="461"/>
        </w:tabs>
        <w:spacing w:after="0"/>
        <w:ind w:left="360"/>
      </w:pPr>
      <w:r>
        <w:t xml:space="preserve">Dans le but de partager les bonnes pratiques et les enseignements tirés, nous avons collaboré avec des partenaires de couplage des données au Canada, en Australie et au Royaume-Uni pour créer un nouveau </w:t>
      </w:r>
      <w:hyperlink r:id="rId14">
        <w:r>
          <w:rPr>
            <w:color w:val="1155CC"/>
            <w:u w:val="single"/>
          </w:rPr>
          <w:t>répertoire international d’outils d’accès aux données</w:t>
        </w:r>
      </w:hyperlink>
      <w:r>
        <w:t>. Hébergé par ADR UK, le répertoire comprend les catégories d’outils suivantes : outils interactifs de recherche de données, aides à l’orientation et ressources sur les bonnes pratiques. Nous en sommes à inviter d’autres organismes à explorer ce répertoire et à y ajouter de nouveaux outils.</w:t>
      </w:r>
    </w:p>
    <w:p w14:paraId="00000058" w14:textId="77777777" w:rsidR="00E22501" w:rsidRDefault="00000000">
      <w:pPr>
        <w:pStyle w:val="Heading3"/>
        <w:spacing w:after="200"/>
      </w:pPr>
      <w:bookmarkStart w:id="26" w:name="_heading=h.alc1dzxfiiip" w:colFirst="0" w:colLast="0"/>
      <w:bookmarkEnd w:id="26"/>
      <w:r>
        <w:t>Comité consultatif de la Plateforme canadienne de données de la Stratégie de recherche axée sur le patient (SRAP)</w:t>
      </w:r>
    </w:p>
    <w:p w14:paraId="00000059" w14:textId="77777777" w:rsidR="00E22501" w:rsidRDefault="00000000">
      <w:pPr>
        <w:numPr>
          <w:ilvl w:val="0"/>
          <w:numId w:val="16"/>
        </w:numPr>
        <w:tabs>
          <w:tab w:val="left" w:pos="461"/>
          <w:tab w:val="left" w:pos="461"/>
          <w:tab w:val="left" w:pos="461"/>
          <w:tab w:val="left" w:pos="461"/>
          <w:tab w:val="left" w:pos="461"/>
          <w:tab w:val="left" w:pos="461"/>
          <w:tab w:val="left" w:pos="461"/>
          <w:tab w:val="left" w:pos="461"/>
        </w:tabs>
        <w:spacing w:after="240"/>
        <w:ind w:left="360"/>
      </w:pPr>
      <w:r>
        <w:t>Le comité consultatif de la PCD de la SRAP a tenu sa 18</w:t>
      </w:r>
      <w:r>
        <w:rPr>
          <w:vertAlign w:val="superscript"/>
        </w:rPr>
        <w:t>e</w:t>
      </w:r>
      <w:r>
        <w:t> réunion. Les membres ont fait part de leurs commentaires et suggestions sur les points suivants à l’ordre du jour : les outils de protection des données, le point sur la stratégie IDEA et le point sur le projet MASK.</w:t>
      </w:r>
    </w:p>
    <w:p w14:paraId="0000005A" w14:textId="77777777" w:rsidR="00E22501" w:rsidRDefault="00000000">
      <w:pPr>
        <w:pStyle w:val="Heading2"/>
      </w:pPr>
      <w:bookmarkStart w:id="27" w:name="_heading=h.dfs0kk4nyb2m" w:colFirst="0" w:colLast="0"/>
      <w:bookmarkEnd w:id="27"/>
      <w:r>
        <w:t>Objectif 4 : Renforcer l’utilisation des données pour améliorer l’équité et soutenir la souveraineté des données dirigées par les peuples autochtones</w:t>
      </w:r>
    </w:p>
    <w:p w14:paraId="0000005B" w14:textId="77777777" w:rsidR="00E22501" w:rsidRDefault="00000000">
      <w:pPr>
        <w:pStyle w:val="Heading3"/>
        <w:spacing w:before="200" w:after="200"/>
      </w:pPr>
      <w:bookmarkStart w:id="28" w:name="_heading=h.mjxwuup1w84p" w:colFirst="0" w:colLast="0"/>
      <w:bookmarkEnd w:id="28"/>
      <w:r>
        <w:t>Soutien à la création d’un réseau national pour la souveraineté des données sur les Autochtones</w:t>
      </w:r>
    </w:p>
    <w:p w14:paraId="0000005C" w14:textId="77777777" w:rsidR="00E22501" w:rsidRDefault="00000000">
      <w:pPr>
        <w:pStyle w:val="Heading4"/>
        <w:spacing w:after="0"/>
      </w:pPr>
      <w:bookmarkStart w:id="29" w:name="_heading=h.llt50qtv59un" w:colFirst="0" w:colLast="0"/>
      <w:bookmarkEnd w:id="29"/>
      <w:r>
        <w:t xml:space="preserve">Collaborer avec des spécialistes, des organismes et des collectivités autochtones </w:t>
      </w:r>
    </w:p>
    <w:p w14:paraId="0000005D" w14:textId="77777777" w:rsidR="00E22501" w:rsidRDefault="00000000">
      <w:pPr>
        <w:numPr>
          <w:ilvl w:val="0"/>
          <w:numId w:val="9"/>
        </w:numPr>
        <w:spacing w:after="0"/>
        <w:ind w:left="360"/>
      </w:pPr>
      <w:r>
        <w:t xml:space="preserve">En décembre 2025, conjointement avec Shkaabe Makwa à CAMH (le Centre de toxicomanie et de santé mentale), nous avons organisé une séance de travail nationale sur la souveraineté et la gouvernance des données sur les Autochtones. L’événement a attiré un large public (plus de 50 participants) et a permis d’augmenter la participation de spécialistes, de dirigeants d’organismes, de fournisseurs de services et de membres de collectivités autochtones de partout au Canada aux discussions sur la recherche, les données de recherche, la souveraineté et la gouvernance des données des Autochtones. L’un des moments forts de l’événement a eu lieu lorsque l’idée de créer un réseau national </w:t>
      </w:r>
      <w:r>
        <w:lastRenderedPageBreak/>
        <w:t xml:space="preserve">pour la souveraineté et la gouvernance des données sur les Autochtones a été présentée. Les commentaires sur cette idée ont été positifs, et les participants ont donné leur aval à la création du réseau. </w:t>
      </w:r>
    </w:p>
    <w:p w14:paraId="0000005E" w14:textId="77777777" w:rsidR="00E22501" w:rsidRDefault="00000000">
      <w:pPr>
        <w:numPr>
          <w:ilvl w:val="0"/>
          <w:numId w:val="9"/>
        </w:numPr>
        <w:spacing w:after="0"/>
        <w:ind w:left="360"/>
      </w:pPr>
      <w:sdt>
        <w:sdtPr>
          <w:tag w:val="goog_rdk_0"/>
          <w:id w:val="989384811"/>
        </w:sdtPr>
        <w:sdtContent/>
      </w:sdt>
      <w:r>
        <w:t>La personne qui préside l’équipe des données sur les Autochtones (IDT) collabore avec des spécialistes, des dirigeants d’organismes et des membres de collectivités autochtones dans d’autres domaines : le groupe d’apprentissage et de travail sur les données sur les Autochtones du RRDS Canada, l’équipe IDEA, l’Ongomiizwin Indigenous Institute of Health and Healing (à l’Université du Manitoba), le Centre de collaboration nationale de la santé autochtone, l’Institut de la santé des Autochtones des IRSC et Heritage Lab.</w:t>
      </w:r>
    </w:p>
    <w:p w14:paraId="0000005F" w14:textId="77777777" w:rsidR="00E22501" w:rsidRDefault="00000000">
      <w:pPr>
        <w:pStyle w:val="Heading3"/>
        <w:spacing w:before="200" w:after="200"/>
      </w:pPr>
      <w:bookmarkStart w:id="30" w:name="_heading=h.wf03vkjde8ft" w:colFirst="0" w:colLast="0"/>
      <w:bookmarkEnd w:id="30"/>
      <w:r>
        <w:t>Collaboration avec les réseaux pour la souveraineté des données sur les Autochtones à l’échelle mondiale</w:t>
      </w:r>
    </w:p>
    <w:p w14:paraId="00000060" w14:textId="77777777" w:rsidR="00E22501" w:rsidRDefault="00000000">
      <w:pPr>
        <w:pStyle w:val="Heading4"/>
        <w:spacing w:after="0"/>
      </w:pPr>
      <w:bookmarkStart w:id="31" w:name="_heading=h.yqym4uoi50be" w:colFirst="0" w:colLast="0"/>
      <w:bookmarkEnd w:id="31"/>
      <w:r>
        <w:t>Renforcer notre présence au sein de la Global Indigenous Data Alliance</w:t>
      </w:r>
    </w:p>
    <w:p w14:paraId="00000061" w14:textId="77777777" w:rsidR="00E22501" w:rsidRDefault="00000000">
      <w:pPr>
        <w:numPr>
          <w:ilvl w:val="0"/>
          <w:numId w:val="6"/>
        </w:numPr>
        <w:spacing w:after="0"/>
        <w:ind w:left="360"/>
      </w:pPr>
      <w:r>
        <w:t>Nous collaborons avec le réseau de données sur les Autochtones de la Nouvelle-Zélande (Moanna Connect) et le RRDS Canada afin d’obtenir des fonds permettant à des spécialistes, des dirigeants et des membres de collectivités autochtones du Canada de participer à la prochaine réunion de la Global Indigenous Data Alliance (GIDA), en février 2026. Onze membres de notre cohorte canadienne participent à la réunion, parmi lesquels des représentants des Premières Nations, des Inuits et des Métis.</w:t>
      </w:r>
    </w:p>
    <w:p w14:paraId="00000062" w14:textId="77777777" w:rsidR="00E22501" w:rsidRDefault="00000000">
      <w:pPr>
        <w:numPr>
          <w:ilvl w:val="0"/>
          <w:numId w:val="6"/>
        </w:numPr>
        <w:spacing w:after="0"/>
        <w:ind w:left="360"/>
      </w:pPr>
      <w:r>
        <w:t xml:space="preserve">Nous planifions une deuxième séance nationale de travail sur la souveraineté et la gouvernance des données sur les Autochtones à la fin du printemps 2026, à Winnipeg, au Manitoba. </w:t>
      </w:r>
    </w:p>
    <w:p w14:paraId="00000063" w14:textId="77777777" w:rsidR="00E22501" w:rsidRDefault="00000000">
      <w:pPr>
        <w:pStyle w:val="Heading3"/>
        <w:spacing w:before="200" w:after="200"/>
      </w:pPr>
      <w:bookmarkStart w:id="32" w:name="_heading=h.m0xw40tr9t90" w:colFirst="0" w:colLast="0"/>
      <w:bookmarkEnd w:id="32"/>
      <w:r>
        <w:t>Renforcement des capacités et intégration des perspectives, des savoirs et des connaissances autochtones dans la recherche</w:t>
      </w:r>
    </w:p>
    <w:p w14:paraId="00000064" w14:textId="77777777" w:rsidR="00E22501" w:rsidRDefault="00000000">
      <w:pPr>
        <w:pStyle w:val="Heading4"/>
        <w:spacing w:after="0"/>
      </w:pPr>
      <w:bookmarkStart w:id="33" w:name="_heading=h.qq066zfhd7zg" w:colFirst="0" w:colLast="0"/>
      <w:bookmarkEnd w:id="33"/>
      <w:r>
        <w:t xml:space="preserve">Renforcer les capacités des centres de données de recherche  </w:t>
      </w:r>
    </w:p>
    <w:p w14:paraId="00000065" w14:textId="77777777" w:rsidR="00E22501" w:rsidRDefault="00000000">
      <w:pPr>
        <w:numPr>
          <w:ilvl w:val="0"/>
          <w:numId w:val="8"/>
        </w:numPr>
        <w:spacing w:after="0"/>
        <w:ind w:left="360"/>
      </w:pPr>
      <w:sdt>
        <w:sdtPr>
          <w:tag w:val="goog_rdk_1"/>
          <w:id w:val="-186046702"/>
        </w:sdtPr>
        <w:sdtContent/>
      </w:sdt>
      <w:r>
        <w:t>La personne qui préside l’équipe IDT a coanimé deux ateliers sur la rédaction de déclarations personnelles de reconnaissance des terres et des territoires, à l’intention du corps professoral et du personnel du Manitoba Centre for Health Policy (MCHP).</w:t>
      </w:r>
    </w:p>
    <w:p w14:paraId="00000066" w14:textId="77777777" w:rsidR="00E22501" w:rsidRDefault="00000000">
      <w:pPr>
        <w:numPr>
          <w:ilvl w:val="0"/>
          <w:numId w:val="8"/>
        </w:numPr>
        <w:spacing w:after="0"/>
        <w:ind w:left="360"/>
      </w:pPr>
      <w:r>
        <w:t xml:space="preserve">Vingt-cinq membres du corps professoral et du personnel du MCHP participent à un programme de formation sur la sécurité culturelle autochtone, intitulé </w:t>
      </w:r>
      <w:r>
        <w:rPr>
          <w:i/>
          <w:iCs/>
        </w:rPr>
        <w:t xml:space="preserve">We Will Take Good </w:t>
      </w:r>
      <w:r>
        <w:rPr>
          <w:i/>
          <w:iCs/>
        </w:rPr>
        <w:lastRenderedPageBreak/>
        <w:t>Care of the People</w:t>
      </w:r>
      <w:r>
        <w:t xml:space="preserve">, élaboré par Ongomiizwin – Indigenous Institute of Health and Healing (Université du Manitoba). L’équipe IDT a coanimé des séances de suivi avant, pendant et après la formation, ainsi que des cercles de partage pour les membres du personnel inscrits à la formation. </w:t>
      </w:r>
    </w:p>
    <w:p w14:paraId="00000067" w14:textId="77777777" w:rsidR="00E22501" w:rsidRDefault="00000000">
      <w:pPr>
        <w:pStyle w:val="Heading3"/>
        <w:spacing w:before="200" w:after="200"/>
      </w:pPr>
      <w:bookmarkStart w:id="34" w:name="_heading=h.qxos1wkn2aak" w:colFirst="0" w:colLast="0"/>
      <w:bookmarkEnd w:id="34"/>
      <w:r>
        <w:t>Mise en œuvre de nos stratégies IDEA</w:t>
      </w:r>
    </w:p>
    <w:p w14:paraId="00000068" w14:textId="77777777" w:rsidR="00E22501" w:rsidRDefault="00000000">
      <w:pPr>
        <w:spacing w:before="200" w:after="200"/>
        <w:rPr>
          <w:b/>
          <w:bCs/>
        </w:rPr>
      </w:pPr>
      <w:r>
        <w:rPr>
          <w:b/>
          <w:bCs/>
        </w:rPr>
        <w:t>Stratégie IDEA 1 : Apprendre/désapprendre</w:t>
      </w:r>
    </w:p>
    <w:p w14:paraId="00000069" w14:textId="77777777" w:rsidR="00E22501" w:rsidRDefault="00000000">
      <w:pPr>
        <w:numPr>
          <w:ilvl w:val="0"/>
          <w:numId w:val="11"/>
        </w:numPr>
        <w:spacing w:after="0"/>
      </w:pPr>
      <w:r>
        <w:t>Dix-huit mois de séances de désapprentissage de la communauté de pratique IDEA ont été menés à bien. Au total, 75 % des répondants à un sondage réalisé auprès des participants étaient fortement d’accord pour dire que le matériel partagé était utile et pertinent, ce qui les a amenés à diffuser davantage leurs apprentissages au sein de leurs organisations.</w:t>
      </w:r>
    </w:p>
    <w:p w14:paraId="0000006A" w14:textId="77777777" w:rsidR="00E22501" w:rsidRDefault="00000000">
      <w:pPr>
        <w:numPr>
          <w:ilvl w:val="0"/>
          <w:numId w:val="11"/>
        </w:numPr>
        <w:spacing w:after="0"/>
      </w:pPr>
      <w:r>
        <w:t xml:space="preserve">Nous avons élaboré le programme du club de désapprentissage IDEA du RRDS Canada pour les six premiers modules d’apprentissage et l’avons publié </w:t>
      </w:r>
      <w:hyperlink r:id="rId15">
        <w:r>
          <w:rPr>
            <w:color w:val="1155CC"/>
            <w:u w:val="single"/>
          </w:rPr>
          <w:t>sur le site Web du RRDS Canada</w:t>
        </w:r>
      </w:hyperlink>
      <w:r>
        <w:t>.</w:t>
      </w:r>
    </w:p>
    <w:p w14:paraId="0000006B" w14:textId="77777777" w:rsidR="00E22501" w:rsidRDefault="00000000">
      <w:pPr>
        <w:numPr>
          <w:ilvl w:val="1"/>
          <w:numId w:val="11"/>
        </w:numPr>
        <w:spacing w:after="0"/>
      </w:pPr>
      <w:r>
        <w:t xml:space="preserve">Un module complet sur la création d’espaces sécuritaires peut désormais être consulté sur la </w:t>
      </w:r>
      <w:hyperlink r:id="rId16">
        <w:r>
          <w:rPr>
            <w:color w:val="1155CC"/>
            <w:u w:val="single"/>
          </w:rPr>
          <w:t>chaîne YouTube du RRDS Canada</w:t>
        </w:r>
      </w:hyperlink>
      <w:r>
        <w:t xml:space="preserve"> (en anglais).</w:t>
      </w:r>
    </w:p>
    <w:p w14:paraId="0000006C" w14:textId="77777777" w:rsidR="00E22501" w:rsidRDefault="00000000">
      <w:pPr>
        <w:numPr>
          <w:ilvl w:val="0"/>
          <w:numId w:val="11"/>
        </w:numPr>
        <w:spacing w:after="0"/>
      </w:pPr>
      <w:r>
        <w:t>Nous avons œuvré à l’intégration de l’IDEA dans le PTTP en créant un module de formation sur la prise en compte de l’IDEA lors du choix des indicateurs de résultats.</w:t>
      </w:r>
    </w:p>
    <w:p w14:paraId="0000006D" w14:textId="77777777" w:rsidR="00E22501" w:rsidRDefault="00000000">
      <w:pPr>
        <w:numPr>
          <w:ilvl w:val="0"/>
          <w:numId w:val="11"/>
        </w:numPr>
        <w:spacing w:after="0"/>
      </w:pPr>
      <w:r>
        <w:t>Nous avons effectué un premier recensement et une première sélection des compétences fondamentales, complémentaires et spécialisées en matière d’IDEA. Ces compétences s’appliquent tant au niveau individuel qu’au niveau organisationnel. Nous nous préparons actuellement à organiser des groupes de discussion afin de faire connaître, de rationaliser et de sélectionner correctement les compétences.</w:t>
      </w:r>
    </w:p>
    <w:p w14:paraId="0000006E" w14:textId="77777777" w:rsidR="00E22501" w:rsidRDefault="00000000">
      <w:pPr>
        <w:numPr>
          <w:ilvl w:val="1"/>
          <w:numId w:val="11"/>
        </w:numPr>
        <w:spacing w:after="0"/>
      </w:pPr>
      <w:r>
        <w:t>Un résumé d’atelier visant à présenter ces travaux a été soumis à la conférence 2026 de l’IPDLN.</w:t>
      </w:r>
    </w:p>
    <w:p w14:paraId="0000006F" w14:textId="77777777" w:rsidR="00E22501" w:rsidRDefault="00000000">
      <w:pPr>
        <w:numPr>
          <w:ilvl w:val="0"/>
          <w:numId w:val="11"/>
        </w:numPr>
        <w:spacing w:after="0"/>
      </w:pPr>
      <w:r>
        <w:t>La planification est en cours en vue de la création d’un module de formation en ligne sur les compétences en matière d’IDEA dans le domaine des données administratives.</w:t>
      </w:r>
    </w:p>
    <w:p w14:paraId="00000070" w14:textId="77777777" w:rsidR="00E22501" w:rsidRDefault="00000000">
      <w:pPr>
        <w:spacing w:before="200" w:after="200"/>
      </w:pPr>
      <w:r>
        <w:rPr>
          <w:b/>
          <w:bCs/>
        </w:rPr>
        <w:t>Stratégie IDEA 2 : Faciliter l’IDEA dans la recherche de données</w:t>
      </w:r>
    </w:p>
    <w:p w14:paraId="00000071" w14:textId="77777777" w:rsidR="00E22501" w:rsidRDefault="00000000">
      <w:pPr>
        <w:numPr>
          <w:ilvl w:val="0"/>
          <w:numId w:val="11"/>
        </w:numPr>
        <w:spacing w:after="0"/>
      </w:pPr>
      <w:r>
        <w:t xml:space="preserve">Deux notes d’information sur la façon d’intégrer l’IDEA aux projets du RRDS Canada, au dictionnaire de concepts pancanadien et aux modèles de données communs ont été </w:t>
      </w:r>
      <w:r>
        <w:lastRenderedPageBreak/>
        <w:t>préparées conjointement. Elles contiennent des recommandations à l’intention du personnel travaillant sur des projets d’infrastructure.</w:t>
      </w:r>
    </w:p>
    <w:p w14:paraId="00000072" w14:textId="77777777" w:rsidR="00E22501" w:rsidRDefault="00000000">
      <w:pPr>
        <w:numPr>
          <w:ilvl w:val="0"/>
          <w:numId w:val="11"/>
        </w:numPr>
        <w:spacing w:after="0"/>
      </w:pPr>
      <w:r>
        <w:t>Des ressources ont été préparées pour aider les chercheurs à intégrer l’IDEA dans leurs projets de recherche. Elles seront accessibles dans le GSAD et mises à la disposition des chercheurs qui utilisent le service Heures de bureau.</w:t>
      </w:r>
    </w:p>
    <w:p w14:paraId="00000073" w14:textId="77777777" w:rsidR="00E22501" w:rsidRDefault="00000000">
      <w:pPr>
        <w:spacing w:before="200" w:after="200"/>
        <w:rPr>
          <w:b/>
          <w:bCs/>
        </w:rPr>
      </w:pPr>
      <w:r>
        <w:rPr>
          <w:b/>
          <w:bCs/>
        </w:rPr>
        <w:t>Stratégie IDEA 3 : Cultiver la confiance et la réciprocité dans les partenariats communautaires</w:t>
      </w:r>
    </w:p>
    <w:p w14:paraId="00000074" w14:textId="77777777" w:rsidR="00E22501" w:rsidRDefault="00000000">
      <w:pPr>
        <w:numPr>
          <w:ilvl w:val="0"/>
          <w:numId w:val="11"/>
        </w:numPr>
        <w:spacing w:after="0"/>
      </w:pPr>
      <w:r>
        <w:t>Plusieurs travaux visant à définir les processus de prise en compte de la participation du public aux travaux internes du RRDS Canada sont en cours :</w:t>
      </w:r>
    </w:p>
    <w:p w14:paraId="00000075" w14:textId="77777777" w:rsidR="00E22501" w:rsidRDefault="00000000">
      <w:pPr>
        <w:numPr>
          <w:ilvl w:val="1"/>
          <w:numId w:val="11"/>
        </w:numPr>
        <w:spacing w:after="0"/>
      </w:pPr>
      <w:r>
        <w:t>Une analyse de l’environnement, portant sur les connaissances et les ressources dont disposent les membres du RRDS Canada pour intégrer la participation du public dans leurs processus internes, est maintenant terminée.</w:t>
      </w:r>
    </w:p>
    <w:p w14:paraId="00000076" w14:textId="77777777" w:rsidR="00E22501" w:rsidRDefault="00000000">
      <w:pPr>
        <w:numPr>
          <w:ilvl w:val="1"/>
          <w:numId w:val="11"/>
        </w:numPr>
        <w:spacing w:after="0"/>
      </w:pPr>
      <w:r>
        <w:t>Une revue systématique de la littérature grise extra-universitaire consacrée aux processus organisationnels visant à intégrer l’IDEA et la participation du public a permis de recenser plus de 30 ressources à analyser.</w:t>
      </w:r>
    </w:p>
    <w:p w14:paraId="00000077" w14:textId="77777777" w:rsidR="00E22501" w:rsidRDefault="00000000">
      <w:pPr>
        <w:numPr>
          <w:ilvl w:val="1"/>
          <w:numId w:val="11"/>
        </w:numPr>
        <w:spacing w:after="0"/>
      </w:pPr>
      <w:r>
        <w:t>Le résultat sera une « banque de questions » s’inscrivant dans la continuité des projets internes visant à prendre en compte au mieux la participation du public et la réciprocité.</w:t>
      </w:r>
    </w:p>
    <w:p w14:paraId="00000078" w14:textId="77777777" w:rsidR="00E22501" w:rsidRDefault="00000000">
      <w:pPr>
        <w:spacing w:before="200" w:after="200"/>
        <w:rPr>
          <w:b/>
          <w:bCs/>
        </w:rPr>
      </w:pPr>
      <w:r>
        <w:rPr>
          <w:b/>
          <w:bCs/>
        </w:rPr>
        <w:t>Stratégie IDEA 4 : Assurer le leadership et la promotion des intérêts en matière d’IDEA</w:t>
      </w:r>
    </w:p>
    <w:p w14:paraId="00000079" w14:textId="77777777" w:rsidR="00E22501" w:rsidRDefault="00000000">
      <w:pPr>
        <w:numPr>
          <w:ilvl w:val="0"/>
          <w:numId w:val="11"/>
        </w:numPr>
        <w:spacing w:after="0"/>
      </w:pPr>
      <w:r>
        <w:t xml:space="preserve">Rédaction du rapport intitulé </w:t>
      </w:r>
      <w:sdt>
        <w:sdtPr>
          <w:tag w:val="goog_rdk_2"/>
          <w:id w:val="149694076"/>
        </w:sdtPr>
        <w:sdtContent/>
      </w:sdt>
      <w:r>
        <w:rPr>
          <w:i/>
          <w:iCs/>
        </w:rPr>
        <w:t>De grandes idées sur l’écosystème de la recherche sur les données : actions collectives pour rendre la recherche sur les données plus inclusive, diversifiée, équitable et accessible</w:t>
      </w:r>
      <w:r>
        <w:t xml:space="preserve">, en collaboration avec la direction et l’équipe de responsables du RRDS Canada. Ce rapport sera transmis prochainement à l’Alliance pour la recherche sur les données de santé. </w:t>
      </w:r>
    </w:p>
    <w:p w14:paraId="0000007A" w14:textId="77777777" w:rsidR="00E22501" w:rsidRDefault="00000000">
      <w:pPr>
        <w:numPr>
          <w:ilvl w:val="0"/>
          <w:numId w:val="11"/>
        </w:numPr>
        <w:spacing w:after="0"/>
      </w:pPr>
      <w:r>
        <w:t>Nous travaillons à la création d’un cadre Five Safes (cinq éléments de la sécurité) 2.0 pour le RRDS Canada. Ce cadre s’appuiera sur les concepts actuels en matière de protection de la vie privée et s’étendra à la protection des renseignements des collectivités, aux concepts IDEA, à la gouvernance communautaire, à la participation du public et à la souveraineté des données sur les Autochtones.</w:t>
      </w:r>
    </w:p>
    <w:p w14:paraId="0000007B" w14:textId="77777777" w:rsidR="00E22501" w:rsidRDefault="00000000">
      <w:pPr>
        <w:numPr>
          <w:ilvl w:val="0"/>
          <w:numId w:val="11"/>
        </w:numPr>
        <w:spacing w:after="0"/>
      </w:pPr>
      <w:r>
        <w:lastRenderedPageBreak/>
        <w:t>Deux résumés ont été soumis à la conférence 2026 de l’IPDLN, l’un portant sur le cadre Five Safes 2.0 et l’autre, sur l’élément Projets sécuritaires, ont été transmis par l’équipe tactique du secteur privé de CAN-ASK.</w:t>
      </w:r>
    </w:p>
    <w:p w14:paraId="0000007C" w14:textId="77777777" w:rsidR="00E22501" w:rsidRDefault="00000000">
      <w:pPr>
        <w:spacing w:before="200" w:after="200" w:line="276" w:lineRule="auto"/>
      </w:pPr>
      <w:r>
        <w:rPr>
          <w:rFonts w:ascii="Lato" w:eastAsia="Lato" w:hAnsi="Lato" w:cs="Lato"/>
          <w:color w:val="006A78"/>
          <w:sz w:val="28"/>
          <w:szCs w:val="28"/>
        </w:rPr>
        <w:t>Publications</w:t>
      </w:r>
    </w:p>
    <w:p w14:paraId="0000007D" w14:textId="77777777" w:rsidR="00E22501" w:rsidRDefault="00000000">
      <w:pPr>
        <w:numPr>
          <w:ilvl w:val="0"/>
          <w:numId w:val="15"/>
        </w:numPr>
        <w:spacing w:after="0"/>
      </w:pPr>
      <w:r>
        <w:t xml:space="preserve">L’article intitulé « Understanding Inclusion, Diversity, Equity, and Accessibility in a distributed data network: Environmental scan within Health Data Research Network Canada » a été accepté pour publication dans la revue </w:t>
      </w:r>
      <w:r>
        <w:rPr>
          <w:i/>
          <w:iCs/>
        </w:rPr>
        <w:t>International Journal of Population Data Science</w:t>
      </w:r>
      <w:r>
        <w:t xml:space="preserve"> (IJPDS).</w:t>
      </w:r>
    </w:p>
    <w:p w14:paraId="0000007E" w14:textId="77777777" w:rsidR="00E22501" w:rsidRDefault="00000000">
      <w:pPr>
        <w:numPr>
          <w:ilvl w:val="0"/>
          <w:numId w:val="15"/>
        </w:numPr>
        <w:spacing w:after="0"/>
        <w:rPr>
          <w:b/>
          <w:bCs/>
        </w:rPr>
      </w:pPr>
      <w:r>
        <w:t>La rédaction de l’article intitulé « Co-creating an Inclusion, Diversity, Equity, and Accessibility (IDEA) strategy in a Pan-Canadian health data research network » est terminée; l’article sera soumis à l’IJPDS.</w:t>
      </w:r>
    </w:p>
    <w:p w14:paraId="0000007F" w14:textId="77777777" w:rsidR="00E22501" w:rsidRDefault="00000000">
      <w:pPr>
        <w:spacing w:before="200" w:after="200" w:line="276" w:lineRule="auto"/>
      </w:pPr>
      <w:r>
        <w:rPr>
          <w:rFonts w:ascii="Lato" w:eastAsia="Lato" w:hAnsi="Lato" w:cs="Lato"/>
          <w:color w:val="006A78"/>
          <w:sz w:val="28"/>
          <w:szCs w:val="28"/>
        </w:rPr>
        <w:t>Analyses comparatives</w:t>
      </w:r>
    </w:p>
    <w:p w14:paraId="00000080" w14:textId="77777777" w:rsidR="00E22501" w:rsidRDefault="00000000">
      <w:pPr>
        <w:numPr>
          <w:ilvl w:val="0"/>
          <w:numId w:val="15"/>
        </w:numPr>
        <w:spacing w:after="0"/>
      </w:pPr>
      <w:r>
        <w:t>L’équipe IDEA met au point un outil d’analyse comparative IDEA à l’intention des réseaux de données administratives décentralisés. Cet outil abordera notamment des aspects liés au mentorat, à l’amélioration de la diversité et des grilles de compétences, à l’intégration de l’IDEA dans les infrastructures et la communication, et d’autres sujets.</w:t>
      </w:r>
    </w:p>
    <w:p w14:paraId="00000081" w14:textId="77777777" w:rsidR="00E22501" w:rsidRDefault="00000000">
      <w:pPr>
        <w:pStyle w:val="Heading2"/>
        <w:spacing w:before="200"/>
      </w:pPr>
      <w:bookmarkStart w:id="35" w:name="_heading=h.plyp0qanur9t" w:colFirst="0" w:colLast="0"/>
      <w:bookmarkEnd w:id="35"/>
      <w:r>
        <w:t>Objectif 5 : Assurer une participation publique et communautaire intentionnelle et continue</w:t>
      </w:r>
    </w:p>
    <w:p w14:paraId="00000082" w14:textId="77777777" w:rsidR="00E22501" w:rsidRDefault="00000000">
      <w:pPr>
        <w:pStyle w:val="Heading3"/>
        <w:spacing w:before="200" w:after="200"/>
      </w:pPr>
      <w:bookmarkStart w:id="36" w:name="_heading=h.6y5umr8d5djf" w:colFirst="0" w:colLast="0"/>
      <w:bookmarkEnd w:id="36"/>
      <w:r>
        <w:t>Mesures de protection du secteur privé et travaux liés au bien public pour CAN-ASK</w:t>
      </w:r>
    </w:p>
    <w:p w14:paraId="00000083" w14:textId="77777777" w:rsidR="00E22501"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Un résumé a été soumis à la conférence 2026 de l’IPDLN concernant les travaux menés par le RRDS Canada pour définir les mesures de protection du secteur privé et le bien public dans le cadre du service CAN-ASK. Les membres de l’équipe PE ont mené ce travail en collaboration avec l’équipe de CAN-ASK.</w:t>
      </w:r>
    </w:p>
    <w:p w14:paraId="00000084" w14:textId="77777777" w:rsidR="00E22501"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 xml:space="preserve">La version préliminaire d’un outil d’évaluation des risques et du bien public, destiné à faciliter la prise de décision concernant les projets du secteur privé, a été créée. Les premières étapes se sont appuyées sur les consultations menées avec le conseil consultatif public, les pratiques canadiennes en matière de gouvernance des données, les </w:t>
      </w:r>
      <w:r>
        <w:lastRenderedPageBreak/>
        <w:t>lignes directrices internationales, ainsi que les principes de l’IDEA et de la souveraineté des données sur les Autochtones.</w:t>
      </w:r>
    </w:p>
    <w:p w14:paraId="00000085" w14:textId="77777777" w:rsidR="00E22501" w:rsidRDefault="00000000">
      <w:pPr>
        <w:pStyle w:val="Heading3"/>
        <w:spacing w:after="200"/>
      </w:pPr>
      <w:bookmarkStart w:id="37" w:name="_heading=h.eyfjbbrkwf1m" w:colFirst="0" w:colLast="0"/>
      <w:bookmarkEnd w:id="37"/>
      <w:r>
        <w:t>La diffusion et le suivi de l’article de référence sur la confiance du public et la littératie des données en collaboration avec l’Agence de santé publique du Canada (ASPC) sont en cours</w:t>
      </w:r>
    </w:p>
    <w:p w14:paraId="00000086" w14:textId="77777777" w:rsidR="00E22501" w:rsidRDefault="00000000">
      <w:pPr>
        <w:numPr>
          <w:ilvl w:val="0"/>
          <w:numId w:val="17"/>
        </w:numPr>
        <w:tabs>
          <w:tab w:val="left" w:pos="461"/>
          <w:tab w:val="left" w:pos="461"/>
          <w:tab w:val="left" w:pos="461"/>
          <w:tab w:val="left" w:pos="461"/>
          <w:tab w:val="left" w:pos="461"/>
          <w:tab w:val="left" w:pos="461"/>
          <w:tab w:val="left" w:pos="461"/>
          <w:tab w:val="left" w:pos="461"/>
        </w:tabs>
        <w:spacing w:after="0"/>
        <w:ind w:left="450" w:hanging="450"/>
      </w:pPr>
      <w:r>
        <w:t>Un webinaire conjoint avec d’autres partenaires clés de l’initiative de l’ASPC sur la confiance publique et la littératie en matière de données (CHIMA et SFU) a eu lieu le 20 octobre 2025.</w:t>
      </w:r>
    </w:p>
    <w:p w14:paraId="00000087" w14:textId="77777777" w:rsidR="00E22501" w:rsidRDefault="00000000">
      <w:pPr>
        <w:numPr>
          <w:ilvl w:val="0"/>
          <w:numId w:val="17"/>
        </w:numPr>
        <w:tabs>
          <w:tab w:val="left" w:pos="461"/>
          <w:tab w:val="left" w:pos="461"/>
          <w:tab w:val="left" w:pos="461"/>
          <w:tab w:val="left" w:pos="461"/>
          <w:tab w:val="left" w:pos="461"/>
          <w:tab w:val="left" w:pos="461"/>
          <w:tab w:val="left" w:pos="461"/>
          <w:tab w:val="left" w:pos="461"/>
        </w:tabs>
        <w:ind w:left="450" w:hanging="450"/>
      </w:pPr>
      <w:r>
        <w:t xml:space="preserve">Un article intitulé « Recommendations for building trust in health data systems: A qualitative study informed by patient and public engagement » a été soumis à la revue </w:t>
      </w:r>
      <w:r>
        <w:rPr>
          <w:i/>
          <w:iCs/>
        </w:rPr>
        <w:t>BMJ Open</w:t>
      </w:r>
      <w:r>
        <w:t xml:space="preserve">. </w:t>
      </w:r>
    </w:p>
    <w:p w14:paraId="00000088" w14:textId="77777777" w:rsidR="00E22501" w:rsidRDefault="00000000">
      <w:pPr>
        <w:pStyle w:val="Heading2"/>
      </w:pPr>
      <w:bookmarkStart w:id="38" w:name="_heading=h.8sdt646jpz7l" w:colFirst="0" w:colLast="0"/>
      <w:bookmarkEnd w:id="38"/>
      <w:r>
        <w:t>Facteur de réussite : un réseau cohésif avec des activités efficaces et durables</w:t>
      </w:r>
    </w:p>
    <w:p w14:paraId="00000089" w14:textId="77777777" w:rsidR="00E22501" w:rsidRDefault="00000000">
      <w:pPr>
        <w:pStyle w:val="Heading3"/>
        <w:spacing w:before="200" w:after="200"/>
      </w:pPr>
      <w:bookmarkStart w:id="39" w:name="_heading=h.fg0pf1m8vlae" w:colFirst="0" w:colLast="0"/>
      <w:bookmarkEnd w:id="39"/>
      <w:r>
        <w:t>Aperçu des événements publics du RRDS Canada en 2025</w:t>
      </w:r>
    </w:p>
    <w:p w14:paraId="0000008A" w14:textId="77777777" w:rsidR="00E22501" w:rsidRDefault="00000000">
      <w:pPr>
        <w:numPr>
          <w:ilvl w:val="0"/>
          <w:numId w:val="14"/>
        </w:numPr>
        <w:spacing w:after="0"/>
        <w:ind w:left="450" w:hanging="450"/>
        <w:rPr>
          <w:sz w:val="22"/>
          <w:szCs w:val="22"/>
        </w:rPr>
      </w:pPr>
      <w:r>
        <w:t xml:space="preserve">En 2025, le RRDS Canada a organisé 15 événements publics (p. ex. série De grandes idées sur les données de santé et webinaires du GSAD), qui ont attiré au total 11 086 inscriptions. Le nombre d’abonnés à notre </w:t>
      </w:r>
      <w:hyperlink r:id="rId17">
        <w:r>
          <w:rPr>
            <w:color w:val="1155CC"/>
            <w:u w:val="single"/>
          </w:rPr>
          <w:t>page Événements sur la plateforme Eventbrite</w:t>
        </w:r>
      </w:hyperlink>
      <w:r>
        <w:t xml:space="preserve"> a augmenté de 71 %, pour atteindre 356. Le RRDS Canada compte désormais plus de 5 800 abonnés sur LinkedIn.</w:t>
      </w:r>
    </w:p>
    <w:p w14:paraId="0000008B" w14:textId="77777777" w:rsidR="00E22501" w:rsidRDefault="00000000">
      <w:pPr>
        <w:pStyle w:val="Heading2"/>
        <w:spacing w:before="200"/>
      </w:pPr>
      <w:bookmarkStart w:id="40" w:name="_heading=h.8t7spwf1lwpn" w:colFirst="0" w:colLast="0"/>
      <w:bookmarkEnd w:id="40"/>
      <w:r>
        <w:t>Facteur de réussite : un écosystème législatif et stratégique favorable et engagé et une communauté d’utilisateurs de données active</w:t>
      </w:r>
    </w:p>
    <w:p w14:paraId="0000008C" w14:textId="77777777" w:rsidR="00E22501" w:rsidRDefault="00000000">
      <w:pPr>
        <w:pStyle w:val="Heading3"/>
        <w:spacing w:before="200" w:after="200"/>
      </w:pPr>
      <w:bookmarkStart w:id="41" w:name="_heading=h.iy1ou9bq24bx" w:colFirst="0" w:colLast="0"/>
      <w:bookmarkEnd w:id="41"/>
      <w:r>
        <w:t>Mise à jour sur l’initiative pancanadienne CAN-ASK</w:t>
      </w:r>
    </w:p>
    <w:p w14:paraId="0000008D" w14:textId="77777777" w:rsidR="00E22501" w:rsidRDefault="00000000">
      <w:pPr>
        <w:numPr>
          <w:ilvl w:val="0"/>
          <w:numId w:val="12"/>
        </w:numPr>
        <w:spacing w:after="0"/>
      </w:pPr>
      <w:r>
        <w:t>Le comité directeur de la mise en œuvre de CAN-ASK et les quatre sous-équipes tactiques ont continué à se réunir pour élargir le service.</w:t>
      </w:r>
    </w:p>
    <w:p w14:paraId="0000008E" w14:textId="77777777" w:rsidR="00E22501" w:rsidRDefault="00000000">
      <w:pPr>
        <w:numPr>
          <w:ilvl w:val="0"/>
          <w:numId w:val="12"/>
        </w:numPr>
        <w:spacing w:after="0"/>
      </w:pPr>
      <w:r>
        <w:t>Il existe quatre projets CAN-ASK actifs :</w:t>
      </w:r>
    </w:p>
    <w:p w14:paraId="0000008F" w14:textId="77777777" w:rsidR="00E22501" w:rsidRDefault="00000000">
      <w:pPr>
        <w:numPr>
          <w:ilvl w:val="1"/>
          <w:numId w:val="12"/>
        </w:numPr>
        <w:spacing w:after="0"/>
      </w:pPr>
      <w:r>
        <w:t>Deux projets avec l’Agence des médicaments du Canada, qui s’inscrivent dans la continuité des projets antérieurs Suivi et évaluation du diabète et de la contraception. Ces projets sont menés en collaboration avec l’Institut canadien d’information sur la santé.</w:t>
      </w:r>
    </w:p>
    <w:p w14:paraId="00000090" w14:textId="77777777" w:rsidR="00E22501" w:rsidRDefault="00000000">
      <w:pPr>
        <w:numPr>
          <w:ilvl w:val="1"/>
          <w:numId w:val="12"/>
        </w:numPr>
        <w:spacing w:after="0"/>
      </w:pPr>
      <w:r>
        <w:lastRenderedPageBreak/>
        <w:t>Un projet mené avec Immigration, Réfugiés et Citoyenneté Canada sur l’utilisation des soins de santé par les immigrants par rapport aux résidents de longue date.</w:t>
      </w:r>
    </w:p>
    <w:p w14:paraId="00000091" w14:textId="77777777" w:rsidR="00E22501" w:rsidRDefault="00000000">
      <w:pPr>
        <w:numPr>
          <w:ilvl w:val="1"/>
          <w:numId w:val="12"/>
        </w:numPr>
        <w:spacing w:after="0"/>
      </w:pPr>
      <w:r>
        <w:t>Un projet du secteur privé assorti d’un accord de confidentialité signé.</w:t>
      </w:r>
    </w:p>
    <w:sectPr w:rsidR="00E22501">
      <w:footerReference w:type="default" r:id="rId18"/>
      <w:pgSz w:w="12240" w:h="15840"/>
      <w:pgMar w:top="1440" w:right="1080" w:bottom="1440" w:left="1080" w:header="0" w:footer="964" w:gutter="0"/>
      <w:pgNumType w:start="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711C0" w14:textId="77777777" w:rsidR="00EA60F8" w:rsidRDefault="00EA60F8">
      <w:pPr>
        <w:spacing w:after="0" w:line="240" w:lineRule="auto"/>
      </w:pPr>
      <w:r>
        <w:separator/>
      </w:r>
    </w:p>
  </w:endnote>
  <w:endnote w:type="continuationSeparator" w:id="0">
    <w:p w14:paraId="3714A213" w14:textId="77777777" w:rsidR="00EA60F8" w:rsidRDefault="00EA6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5DE205A8-1A6D-4580-8B84-CB57167951F7}"/>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35DA3692-2BB1-4BFB-BCED-27276225886B}"/>
    <w:embedBold r:id="rId3" w:fontKey="{E86171B7-34ED-444C-873D-1BB343D184B2}"/>
  </w:font>
  <w:font w:name="Cambria">
    <w:panose1 w:val="02040503050406030204"/>
    <w:charset w:val="00"/>
    <w:family w:val="roman"/>
    <w:pitch w:val="variable"/>
    <w:sig w:usb0="E00006FF" w:usb1="420024FF" w:usb2="02000000" w:usb3="00000000" w:csb0="0000019F" w:csb1="00000000"/>
    <w:embedRegular r:id="rId4" w:fontKey="{04B5A991-149C-4A1C-A079-84693E747EE7}"/>
  </w:font>
  <w:font w:name="Calibri">
    <w:panose1 w:val="020F0502020204030204"/>
    <w:charset w:val="00"/>
    <w:family w:val="swiss"/>
    <w:pitch w:val="variable"/>
    <w:sig w:usb0="E4002EFF" w:usb1="C200247B" w:usb2="00000009" w:usb3="00000000" w:csb0="000001FF" w:csb1="00000000"/>
    <w:embedRegular r:id="rId5" w:fontKey="{B9876449-D10D-4A14-AF17-1CF7802E971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2" w14:textId="77777777" w:rsidR="00E22501"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93" w14:textId="77777777" w:rsidR="00E22501" w:rsidRDefault="00E22501">
    <w:pPr>
      <w:pBdr>
        <w:top w:val="nil"/>
        <w:left w:val="nil"/>
        <w:bottom w:val="nil"/>
        <w:right w:val="nil"/>
        <w:between w:val="nil"/>
      </w:pBdr>
      <w:tabs>
        <w:tab w:val="center" w:pos="4680"/>
        <w:tab w:val="right" w:pos="9360"/>
      </w:tabs>
      <w:spacing w:after="0" w:line="240" w:lineRule="auto"/>
      <w:ind w:right="360" w:firstLine="360"/>
      <w:rPr>
        <w:color w:val="000000"/>
      </w:rPr>
    </w:pPr>
  </w:p>
  <w:p w14:paraId="00000094" w14:textId="77777777" w:rsidR="00E22501" w:rsidRDefault="00E2250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5" w14:textId="77777777" w:rsidR="00E22501" w:rsidRDefault="00000000">
    <w:pPr>
      <w:ind w:right="360" w:firstLine="360"/>
    </w:pPr>
    <w:r>
      <w:rPr>
        <w:noProof/>
      </w:rPr>
      <w:drawing>
        <wp:anchor distT="0" distB="0" distL="114300" distR="114300" simplePos="0" relativeHeight="251658240" behindDoc="0" locked="0" layoutInCell="1" hidden="0" allowOverlap="1">
          <wp:simplePos x="0" y="0"/>
          <wp:positionH relativeFrom="column">
            <wp:posOffset>-98048</wp:posOffset>
          </wp:positionH>
          <wp:positionV relativeFrom="paragraph">
            <wp:posOffset>58418</wp:posOffset>
          </wp:positionV>
          <wp:extent cx="3164840" cy="822960"/>
          <wp:effectExtent l="0" t="0" r="0" b="0"/>
          <wp:wrapSquare wrapText="bothSides" distT="0" distB="0" distL="114300" distR="114300"/>
          <wp:docPr id="3"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00000096" w14:textId="7EA7AB70" w:rsidR="00E22501"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DC5A50">
      <w:rPr>
        <w:noProof/>
        <w:color w:val="000000"/>
      </w:rPr>
      <w:t>2</w:t>
    </w:r>
    <w:r>
      <w:rPr>
        <w:color w:val="000000"/>
      </w:rPr>
      <w:fldChar w:fldCharType="end"/>
    </w:r>
  </w:p>
  <w:p w14:paraId="00000097" w14:textId="77777777" w:rsidR="00E22501" w:rsidRDefault="00E2250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8" w14:textId="77777777" w:rsidR="00E22501"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simplePos x="0" y="0"/>
              <wp:positionH relativeFrom="column">
                <wp:posOffset>-2006594</wp:posOffset>
              </wp:positionH>
              <wp:positionV relativeFrom="paragraph">
                <wp:posOffset>-241296</wp:posOffset>
              </wp:positionV>
              <wp:extent cx="9334500" cy="3385185"/>
              <wp:effectExtent l="0" t="0" r="0" b="0"/>
              <wp:wrapNone/>
              <wp:docPr id="1" name="Group 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82177043" name="Group 182177043"/>
                      <wpg:cNvGrpSpPr/>
                      <wpg:grpSpPr>
                        <a:xfrm>
                          <a:off x="678750" y="2087408"/>
                          <a:ext cx="9334500" cy="3385185"/>
                          <a:chOff x="678750" y="2087400"/>
                          <a:chExt cx="9334500" cy="3385200"/>
                        </a:xfrm>
                      </wpg:grpSpPr>
                      <wps:wsp>
                        <wps:cNvPr id="978399132" name="Rectangle 978399132"/>
                        <wps:cNvSpPr/>
                        <wps:spPr>
                          <a:xfrm>
                            <a:off x="678750" y="2087400"/>
                            <a:ext cx="9334500" cy="3385200"/>
                          </a:xfrm>
                          <a:prstGeom prst="rect">
                            <a:avLst/>
                          </a:prstGeom>
                          <a:noFill/>
                          <a:ln>
                            <a:noFill/>
                          </a:ln>
                        </wps:spPr>
                        <wps:txbx>
                          <w:txbxContent>
                            <w:p w14:paraId="3C05D1B1"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302193133" name="Group 302193133"/>
                        <wpg:cNvGrpSpPr/>
                        <wpg:grpSpPr>
                          <a:xfrm>
                            <a:off x="678750" y="2087408"/>
                            <a:ext cx="9334500" cy="3385185"/>
                            <a:chOff x="678750" y="2087400"/>
                            <a:chExt cx="9334500" cy="3385200"/>
                          </a:xfrm>
                        </wpg:grpSpPr>
                        <wps:wsp>
                          <wps:cNvPr id="145095694" name="Rectangle 145095694"/>
                          <wps:cNvSpPr/>
                          <wps:spPr>
                            <a:xfrm>
                              <a:off x="678750" y="2087400"/>
                              <a:ext cx="9334500" cy="3385200"/>
                            </a:xfrm>
                            <a:prstGeom prst="rect">
                              <a:avLst/>
                            </a:prstGeom>
                            <a:noFill/>
                            <a:ln>
                              <a:noFill/>
                            </a:ln>
                          </wps:spPr>
                          <wps:txbx>
                            <w:txbxContent>
                              <w:p w14:paraId="5E3977FA"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839451586" name="Group 1839451586"/>
                          <wpg:cNvGrpSpPr/>
                          <wpg:grpSpPr>
                            <a:xfrm>
                              <a:off x="678750" y="2087408"/>
                              <a:ext cx="9334500" cy="3385185"/>
                              <a:chOff x="678750" y="2087400"/>
                              <a:chExt cx="9334500" cy="3385200"/>
                            </a:xfrm>
                          </wpg:grpSpPr>
                          <wps:wsp>
                            <wps:cNvPr id="1817992268" name="Rectangle 1817992268"/>
                            <wps:cNvSpPr/>
                            <wps:spPr>
                              <a:xfrm>
                                <a:off x="678750" y="2087400"/>
                                <a:ext cx="9334500" cy="3385200"/>
                              </a:xfrm>
                              <a:prstGeom prst="rect">
                                <a:avLst/>
                              </a:prstGeom>
                              <a:noFill/>
                              <a:ln>
                                <a:noFill/>
                              </a:ln>
                            </wps:spPr>
                            <wps:txbx>
                              <w:txbxContent>
                                <w:p w14:paraId="1F5049C1"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428594698" name="Group 428594698"/>
                            <wpg:cNvGrpSpPr/>
                            <wpg:grpSpPr>
                              <a:xfrm>
                                <a:off x="678750" y="2087408"/>
                                <a:ext cx="9334500" cy="3385185"/>
                                <a:chOff x="678750" y="2087400"/>
                                <a:chExt cx="9334500" cy="3385200"/>
                              </a:xfrm>
                            </wpg:grpSpPr>
                            <wps:wsp>
                              <wps:cNvPr id="1457473690" name="Rectangle 1457473690"/>
                              <wps:cNvSpPr/>
                              <wps:spPr>
                                <a:xfrm>
                                  <a:off x="678750" y="2087400"/>
                                  <a:ext cx="9334500" cy="3385200"/>
                                </a:xfrm>
                                <a:prstGeom prst="rect">
                                  <a:avLst/>
                                </a:prstGeom>
                                <a:noFill/>
                                <a:ln>
                                  <a:noFill/>
                                </a:ln>
                              </wps:spPr>
                              <wps:txbx>
                                <w:txbxContent>
                                  <w:p w14:paraId="70B6DE42"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124187483" name="Group 1124187483"/>
                              <wpg:cNvGrpSpPr/>
                              <wpg:grpSpPr>
                                <a:xfrm>
                                  <a:off x="678750" y="2087408"/>
                                  <a:ext cx="9334500" cy="3385185"/>
                                  <a:chOff x="678750" y="2087400"/>
                                  <a:chExt cx="9334500" cy="3385200"/>
                                </a:xfrm>
                              </wpg:grpSpPr>
                              <wps:wsp>
                                <wps:cNvPr id="210842350" name="Rectangle 210842350"/>
                                <wps:cNvSpPr/>
                                <wps:spPr>
                                  <a:xfrm>
                                    <a:off x="678750" y="2087400"/>
                                    <a:ext cx="9334500" cy="3385200"/>
                                  </a:xfrm>
                                  <a:prstGeom prst="rect">
                                    <a:avLst/>
                                  </a:prstGeom>
                                  <a:noFill/>
                                  <a:ln>
                                    <a:noFill/>
                                  </a:ln>
                                </wps:spPr>
                                <wps:txbx>
                                  <w:txbxContent>
                                    <w:p w14:paraId="4A8B98C3"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492215779" name="Group 1492215779"/>
                                <wpg:cNvGrpSpPr/>
                                <wpg:grpSpPr>
                                  <a:xfrm>
                                    <a:off x="678750" y="2087408"/>
                                    <a:ext cx="9334500" cy="3385185"/>
                                    <a:chOff x="678750" y="2087400"/>
                                    <a:chExt cx="9334500" cy="3385200"/>
                                  </a:xfrm>
                                </wpg:grpSpPr>
                                <wps:wsp>
                                  <wps:cNvPr id="1281773348" name="Rectangle 1281773348"/>
                                  <wps:cNvSpPr/>
                                  <wps:spPr>
                                    <a:xfrm>
                                      <a:off x="678750" y="2087400"/>
                                      <a:ext cx="9334500" cy="3385200"/>
                                    </a:xfrm>
                                    <a:prstGeom prst="rect">
                                      <a:avLst/>
                                    </a:prstGeom>
                                    <a:noFill/>
                                    <a:ln>
                                      <a:noFill/>
                                    </a:ln>
                                  </wps:spPr>
                                  <wps:txbx>
                                    <w:txbxContent>
                                      <w:p w14:paraId="008BEFFE"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959090619" name="Group 1959090619"/>
                                  <wpg:cNvGrpSpPr/>
                                  <wpg:grpSpPr>
                                    <a:xfrm>
                                      <a:off x="678750" y="2087408"/>
                                      <a:ext cx="9334500" cy="3385185"/>
                                      <a:chOff x="678750" y="2087400"/>
                                      <a:chExt cx="9334500" cy="3385200"/>
                                    </a:xfrm>
                                  </wpg:grpSpPr>
                                  <wps:wsp>
                                    <wps:cNvPr id="1658178554" name="Rectangle 1658178554"/>
                                    <wps:cNvSpPr/>
                                    <wps:spPr>
                                      <a:xfrm>
                                        <a:off x="678750" y="2087400"/>
                                        <a:ext cx="9334500" cy="3385200"/>
                                      </a:xfrm>
                                      <a:prstGeom prst="rect">
                                        <a:avLst/>
                                      </a:prstGeom>
                                      <a:noFill/>
                                      <a:ln>
                                        <a:noFill/>
                                      </a:ln>
                                    </wps:spPr>
                                    <wps:txbx>
                                      <w:txbxContent>
                                        <w:p w14:paraId="4E13D493"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956276476" name="Group 956276476"/>
                                    <wpg:cNvGrpSpPr/>
                                    <wpg:grpSpPr>
                                      <a:xfrm>
                                        <a:off x="678750" y="2087408"/>
                                        <a:ext cx="9334500" cy="3385185"/>
                                        <a:chOff x="678750" y="2087400"/>
                                        <a:chExt cx="9334500" cy="3385200"/>
                                      </a:xfrm>
                                    </wpg:grpSpPr>
                                    <wps:wsp>
                                      <wps:cNvPr id="1356709350" name="Rectangle 1356709350"/>
                                      <wps:cNvSpPr/>
                                      <wps:spPr>
                                        <a:xfrm>
                                          <a:off x="678750" y="2087400"/>
                                          <a:ext cx="9334500" cy="3385200"/>
                                        </a:xfrm>
                                        <a:prstGeom prst="rect">
                                          <a:avLst/>
                                        </a:prstGeom>
                                        <a:noFill/>
                                        <a:ln>
                                          <a:noFill/>
                                        </a:ln>
                                      </wps:spPr>
                                      <wps:txbx>
                                        <w:txbxContent>
                                          <w:p w14:paraId="7B97E652"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72269259" name="Group 72269259"/>
                                      <wpg:cNvGrpSpPr/>
                                      <wpg:grpSpPr>
                                        <a:xfrm>
                                          <a:off x="678750" y="2087408"/>
                                          <a:ext cx="9334500" cy="3385185"/>
                                          <a:chOff x="678750" y="2087400"/>
                                          <a:chExt cx="9334500" cy="3385200"/>
                                        </a:xfrm>
                                      </wpg:grpSpPr>
                                      <wps:wsp>
                                        <wps:cNvPr id="584742213" name="Rectangle 584742213"/>
                                        <wps:cNvSpPr/>
                                        <wps:spPr>
                                          <a:xfrm>
                                            <a:off x="678750" y="2087400"/>
                                            <a:ext cx="9334500" cy="3385200"/>
                                          </a:xfrm>
                                          <a:prstGeom prst="rect">
                                            <a:avLst/>
                                          </a:prstGeom>
                                          <a:noFill/>
                                          <a:ln>
                                            <a:noFill/>
                                          </a:ln>
                                        </wps:spPr>
                                        <wps:txbx>
                                          <w:txbxContent>
                                            <w:p w14:paraId="26BCCD70"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948017997" name="Group 1948017997"/>
                                        <wpg:cNvGrpSpPr/>
                                        <wpg:grpSpPr>
                                          <a:xfrm>
                                            <a:off x="678750" y="2087408"/>
                                            <a:ext cx="9334500" cy="3385185"/>
                                            <a:chOff x="678750" y="2087400"/>
                                            <a:chExt cx="9334500" cy="3385200"/>
                                          </a:xfrm>
                                        </wpg:grpSpPr>
                                        <wps:wsp>
                                          <wps:cNvPr id="1059098350" name="Rectangle 1059098350"/>
                                          <wps:cNvSpPr/>
                                          <wps:spPr>
                                            <a:xfrm>
                                              <a:off x="678750" y="2087400"/>
                                              <a:ext cx="9334500" cy="3385200"/>
                                            </a:xfrm>
                                            <a:prstGeom prst="rect">
                                              <a:avLst/>
                                            </a:prstGeom>
                                            <a:noFill/>
                                            <a:ln>
                                              <a:noFill/>
                                            </a:ln>
                                          </wps:spPr>
                                          <wps:txbx>
                                            <w:txbxContent>
                                              <w:p w14:paraId="0E89D04C"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544395513" name="Group 544395513"/>
                                          <wpg:cNvGrpSpPr/>
                                          <wpg:grpSpPr>
                                            <a:xfrm>
                                              <a:off x="678750" y="2087408"/>
                                              <a:ext cx="9334500" cy="3385185"/>
                                              <a:chOff x="678750" y="2087400"/>
                                              <a:chExt cx="9334500" cy="3385200"/>
                                            </a:xfrm>
                                          </wpg:grpSpPr>
                                          <wps:wsp>
                                            <wps:cNvPr id="1223479008" name="Rectangle 1223479008"/>
                                            <wps:cNvSpPr/>
                                            <wps:spPr>
                                              <a:xfrm>
                                                <a:off x="678750" y="2087400"/>
                                                <a:ext cx="9334500" cy="3385200"/>
                                              </a:xfrm>
                                              <a:prstGeom prst="rect">
                                                <a:avLst/>
                                              </a:prstGeom>
                                              <a:noFill/>
                                              <a:ln>
                                                <a:noFill/>
                                              </a:ln>
                                            </wps:spPr>
                                            <wps:txbx>
                                              <w:txbxContent>
                                                <w:p w14:paraId="087BE74D"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776382053" name="Group 776382053"/>
                                            <wpg:cNvGrpSpPr/>
                                            <wpg:grpSpPr>
                                              <a:xfrm>
                                                <a:off x="678750" y="2087408"/>
                                                <a:ext cx="9334500" cy="3385185"/>
                                                <a:chOff x="678750" y="2087400"/>
                                                <a:chExt cx="9334500" cy="3385200"/>
                                              </a:xfrm>
                                            </wpg:grpSpPr>
                                            <wps:wsp>
                                              <wps:cNvPr id="1258727692" name="Rectangle 1258727692"/>
                                              <wps:cNvSpPr/>
                                              <wps:spPr>
                                                <a:xfrm>
                                                  <a:off x="678750" y="2087400"/>
                                                  <a:ext cx="9334500" cy="3385200"/>
                                                </a:xfrm>
                                                <a:prstGeom prst="rect">
                                                  <a:avLst/>
                                                </a:prstGeom>
                                                <a:noFill/>
                                                <a:ln>
                                                  <a:noFill/>
                                                </a:ln>
                                              </wps:spPr>
                                              <wps:txbx>
                                                <w:txbxContent>
                                                  <w:p w14:paraId="141425D5"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284864374" name="Group 1284864374"/>
                                              <wpg:cNvGrpSpPr/>
                                              <wpg:grpSpPr>
                                                <a:xfrm>
                                                  <a:off x="678750" y="2087408"/>
                                                  <a:ext cx="9334500" cy="3385185"/>
                                                  <a:chOff x="678750" y="2087400"/>
                                                  <a:chExt cx="9334500" cy="3385200"/>
                                                </a:xfrm>
                                              </wpg:grpSpPr>
                                              <wps:wsp>
                                                <wps:cNvPr id="6137675" name="Rectangle 6137675"/>
                                                <wps:cNvSpPr/>
                                                <wps:spPr>
                                                  <a:xfrm>
                                                    <a:off x="678750" y="2087400"/>
                                                    <a:ext cx="9334500" cy="3385200"/>
                                                  </a:xfrm>
                                                  <a:prstGeom prst="rect">
                                                    <a:avLst/>
                                                  </a:prstGeom>
                                                  <a:noFill/>
                                                  <a:ln>
                                                    <a:noFill/>
                                                  </a:ln>
                                                </wps:spPr>
                                                <wps:txbx>
                                                  <w:txbxContent>
                                                    <w:p w14:paraId="542D7811"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cNvPr id="1661706262" name="Group 1661706262"/>
                                                <wpg:cNvGrpSpPr/>
                                                <wpg:grpSpPr>
                                                  <a:xfrm rot="10800000">
                                                    <a:off x="678750" y="2087408"/>
                                                    <a:ext cx="9334500" cy="3385185"/>
                                                    <a:chOff x="-7144" y="-7144"/>
                                                    <a:chExt cx="6005513" cy="1924050"/>
                                                  </a:xfrm>
                                                </wpg:grpSpPr>
                                                <wps:wsp>
                                                  <wps:cNvPr id="228668673" name="Rectangle 228668673"/>
                                                  <wps:cNvSpPr/>
                                                  <wps:spPr>
                                                    <a:xfrm>
                                                      <a:off x="-7144" y="-7144"/>
                                                      <a:ext cx="6005500" cy="1924050"/>
                                                    </a:xfrm>
                                                    <a:prstGeom prst="rect">
                                                      <a:avLst/>
                                                    </a:prstGeom>
                                                    <a:noFill/>
                                                    <a:ln>
                                                      <a:noFill/>
                                                    </a:ln>
                                                  </wps:spPr>
                                                  <wps:txbx>
                                                    <w:txbxContent>
                                                      <w:p w14:paraId="4C44334B"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s:wsp>
                                                  <wps:cNvPr id="877834356" name="Freeform: Shape 877834356"/>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0163A46F"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s:wsp>
                                                  <wps:cNvPr id="747275893" name="Freeform: Shape 747275893"/>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5C276887"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s:wsp>
                                                  <wps:cNvPr id="1532465671" name="Freeform: Shape 1532465671"/>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203FB73C"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s:wsp>
                                                  <wps:cNvPr id="1123380150" name="Freeform: Shape 1123380150"/>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71B2A0A8" w14:textId="77777777" w:rsidR="00E22501" w:rsidRDefault="00E22501">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-2006594</wp:posOffset>
              </wp:positionH>
              <wp:positionV relativeFrom="paragraph">
                <wp:posOffset>-241296</wp:posOffset>
              </wp:positionV>
              <wp:extent cx="9334500" cy="3385185"/>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00000099" w14:textId="77777777" w:rsidR="00E22501" w:rsidRDefault="00000000">
    <w:r>
      <w:rPr>
        <w:noProof/>
      </w:rPr>
      <w:drawing>
        <wp:anchor distT="0" distB="0" distL="114300" distR="114300" simplePos="0" relativeHeight="251660288" behindDoc="0" locked="0" layoutInCell="1" hidden="0" allowOverlap="1">
          <wp:simplePos x="0" y="0"/>
          <wp:positionH relativeFrom="column">
            <wp:posOffset>3164840</wp:posOffset>
          </wp:positionH>
          <wp:positionV relativeFrom="paragraph">
            <wp:posOffset>26669</wp:posOffset>
          </wp:positionV>
          <wp:extent cx="3515995" cy="895985"/>
          <wp:effectExtent l="0" t="0" r="0" b="0"/>
          <wp:wrapNone/>
          <wp:docPr id="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A" w14:textId="0168D1F1" w:rsidR="00E22501" w:rsidRDefault="00000000">
    <w:pPr>
      <w:jc w:val="right"/>
    </w:pPr>
    <w:r>
      <w:fldChar w:fldCharType="begin"/>
    </w:r>
    <w:r>
      <w:instrText>PAGE</w:instrText>
    </w:r>
    <w:r>
      <w:fldChar w:fldCharType="separate"/>
    </w:r>
    <w:r w:rsidR="00DC5A50">
      <w:rPr>
        <w:noProof/>
      </w:rP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B" w14:textId="2D4AAD8B" w:rsidR="00E22501" w:rsidRDefault="00000000">
    <w:pPr>
      <w:jc w:val="right"/>
    </w:pPr>
    <w:r>
      <w:fldChar w:fldCharType="begin"/>
    </w:r>
    <w:r>
      <w:instrText>PAGE</w:instrText>
    </w:r>
    <w:r>
      <w:fldChar w:fldCharType="separate"/>
    </w:r>
    <w:r w:rsidR="00DC5A50">
      <w:rPr>
        <w:noProof/>
      </w:rPr>
      <w:t>4</w:t>
    </w:r>
    <w:r>
      <w:fldChar w:fldCharType="end"/>
    </w:r>
    <w:r>
      <w:rPr>
        <w:noProof/>
      </w:rPr>
      <w:drawing>
        <wp:anchor distT="0" distB="0" distL="114300" distR="114300" simplePos="0" relativeHeight="251661312" behindDoc="0" locked="0" layoutInCell="1" hidden="0" allowOverlap="1">
          <wp:simplePos x="0" y="0"/>
          <wp:positionH relativeFrom="column">
            <wp:posOffset>114300</wp:posOffset>
          </wp:positionH>
          <wp:positionV relativeFrom="paragraph">
            <wp:posOffset>0</wp:posOffset>
          </wp:positionV>
          <wp:extent cx="3164840" cy="822960"/>
          <wp:effectExtent l="0" t="0" r="0" b="0"/>
          <wp:wrapSquare wrapText="bothSides" distT="0" distB="0" distL="114300" distR="114300"/>
          <wp:docPr id="4"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BF5E2" w14:textId="77777777" w:rsidR="00EA60F8" w:rsidRDefault="00EA60F8">
      <w:pPr>
        <w:spacing w:after="0" w:line="240" w:lineRule="auto"/>
      </w:pPr>
      <w:r>
        <w:separator/>
      </w:r>
    </w:p>
  </w:footnote>
  <w:footnote w:type="continuationSeparator" w:id="0">
    <w:p w14:paraId="098EFC1B" w14:textId="77777777" w:rsidR="00EA60F8" w:rsidRDefault="00EA60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96FAE"/>
    <w:multiLevelType w:val="multilevel"/>
    <w:tmpl w:val="5D10AB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D9475EA"/>
    <w:multiLevelType w:val="multilevel"/>
    <w:tmpl w:val="CB3EA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867701"/>
    <w:multiLevelType w:val="multilevel"/>
    <w:tmpl w:val="66C2C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85D4052"/>
    <w:multiLevelType w:val="multilevel"/>
    <w:tmpl w:val="766A25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89643F0"/>
    <w:multiLevelType w:val="multilevel"/>
    <w:tmpl w:val="FC18EA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42F2B04"/>
    <w:multiLevelType w:val="multilevel"/>
    <w:tmpl w:val="E862B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7741E68"/>
    <w:multiLevelType w:val="multilevel"/>
    <w:tmpl w:val="6134A1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9A36302"/>
    <w:multiLevelType w:val="multilevel"/>
    <w:tmpl w:val="335CC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C095656"/>
    <w:multiLevelType w:val="multilevel"/>
    <w:tmpl w:val="B77C7E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8396917"/>
    <w:multiLevelType w:val="multilevel"/>
    <w:tmpl w:val="D0980BD2"/>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D3531BA"/>
    <w:multiLevelType w:val="multilevel"/>
    <w:tmpl w:val="E1C0216A"/>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EDA4B63"/>
    <w:multiLevelType w:val="multilevel"/>
    <w:tmpl w:val="D4EC1816"/>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1DF255C"/>
    <w:multiLevelType w:val="multilevel"/>
    <w:tmpl w:val="E0E41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06370BA"/>
    <w:multiLevelType w:val="multilevel"/>
    <w:tmpl w:val="AC862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6132B00"/>
    <w:multiLevelType w:val="multilevel"/>
    <w:tmpl w:val="C59EC2C4"/>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AB607CD"/>
    <w:multiLevelType w:val="multilevel"/>
    <w:tmpl w:val="F15C1B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DCF4289"/>
    <w:multiLevelType w:val="multilevel"/>
    <w:tmpl w:val="862832D2"/>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913927688">
    <w:abstractNumId w:val="1"/>
  </w:num>
  <w:num w:numId="2" w16cid:durableId="980889342">
    <w:abstractNumId w:val="8"/>
  </w:num>
  <w:num w:numId="3" w16cid:durableId="1651976277">
    <w:abstractNumId w:val="7"/>
  </w:num>
  <w:num w:numId="4" w16cid:durableId="19011472">
    <w:abstractNumId w:val="12"/>
  </w:num>
  <w:num w:numId="5" w16cid:durableId="1666128548">
    <w:abstractNumId w:val="13"/>
  </w:num>
  <w:num w:numId="6" w16cid:durableId="624389842">
    <w:abstractNumId w:val="3"/>
  </w:num>
  <w:num w:numId="7" w16cid:durableId="894589906">
    <w:abstractNumId w:val="2"/>
  </w:num>
  <w:num w:numId="8" w16cid:durableId="1620408240">
    <w:abstractNumId w:val="4"/>
  </w:num>
  <w:num w:numId="9" w16cid:durableId="2095784539">
    <w:abstractNumId w:val="15"/>
  </w:num>
  <w:num w:numId="10" w16cid:durableId="1849099327">
    <w:abstractNumId w:val="10"/>
  </w:num>
  <w:num w:numId="11" w16cid:durableId="1397317940">
    <w:abstractNumId w:val="16"/>
  </w:num>
  <w:num w:numId="12" w16cid:durableId="1731688333">
    <w:abstractNumId w:val="11"/>
  </w:num>
  <w:num w:numId="13" w16cid:durableId="1206016762">
    <w:abstractNumId w:val="9"/>
  </w:num>
  <w:num w:numId="14" w16cid:durableId="557783814">
    <w:abstractNumId w:val="0"/>
  </w:num>
  <w:num w:numId="15" w16cid:durableId="1701708294">
    <w:abstractNumId w:val="14"/>
  </w:num>
  <w:num w:numId="16" w16cid:durableId="2068525294">
    <w:abstractNumId w:val="6"/>
  </w:num>
  <w:num w:numId="17" w16cid:durableId="17216362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2501"/>
    <w:rsid w:val="003160C5"/>
    <w:rsid w:val="00BA6A51"/>
    <w:rsid w:val="00DC5A50"/>
    <w:rsid w:val="00E22501"/>
    <w:rsid w:val="00EA60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73D7D5-20A5-455A-B9B8-873AF4B5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060"/>
      <w:sz w:val="44"/>
      <w:szCs w:val="44"/>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ebapps.cihr-irsc.gc.ca/decisions/p/project_details.html?applId=535188&amp;lang=fr" TargetMode="Externa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eventbrite.ca/o/hdrn-canada-57291058663" TargetMode="External"/><Relationship Id="rId2" Type="http://schemas.openxmlformats.org/officeDocument/2006/relationships/numbering" Target="numbering.xml"/><Relationship Id="rId16" Type="http://schemas.openxmlformats.org/officeDocument/2006/relationships/hyperlink" Target="https://www.youtube.com/watch?v=U5jyHk69jEs&amp;list=PL6iM14R_AMRXXHXRf-43u7tedtPmRhoV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www.hdrn.ca/fr/equite-en-matiere-de-donnees/idea/club-de-desapprentissage-idea/" TargetMode="External"/><Relationship Id="rId10" Type="http://schemas.openxmlformats.org/officeDocument/2006/relationships/footer" Target="footer3.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adruk.org/learning-hub/skills-and-resources-to-use-administrative-data/international-data-access-tools-repository/%23:~:text=This%20tools%20repository%20is%20the,as%20more%20tools%20are%20contributed."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delndfGtrYvVVGXDW7iDRpuD3Q==">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16</Pages>
  <Words>4199</Words>
  <Characters>23939</Characters>
  <Application>Microsoft Office Word</Application>
  <DocSecurity>2</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Claire O'Brien</cp:lastModifiedBy>
  <cp:revision>3</cp:revision>
  <dcterms:created xsi:type="dcterms:W3CDTF">2026-06-23T17:44:00Z</dcterms:created>
  <dcterms:modified xsi:type="dcterms:W3CDTF">2026-06-23T18:25:00Z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