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4B1E" w:rsidRPr="00E52AB6" w:rsidRDefault="00324B1E" w:rsidP="00324B1E">
      <w:pPr>
        <w:pStyle w:val="Title"/>
      </w:pPr>
      <w:r w:rsidRPr="00EF4CBC">
        <w:rPr>
          <w:noProof/>
        </w:rPr>
        <mc:AlternateContent>
          <mc:Choice Requires="wpg">
            <w:drawing>
              <wp:anchor distT="0" distB="0" distL="114300" distR="114300" simplePos="0" relativeHeight="251659264" behindDoc="1" locked="1" layoutInCell="1" allowOverlap="1" wp14:anchorId="1AEFE9BF" wp14:editId="00E7061A">
                <wp:simplePos x="0" y="0"/>
                <wp:positionH relativeFrom="column">
                  <wp:posOffset>-1739900</wp:posOffset>
                </wp:positionH>
                <wp:positionV relativeFrom="paragraph">
                  <wp:posOffset>7510780</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C2AABC" id="Graphic 17" o:spid="_x0000_s1026" alt="&quot;&quot;" style="position:absolute;margin-left:-137pt;margin-top:591.4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Pr="00EF4CBC">
        <w:t xml:space="preserve">HDRN </w:t>
      </w:r>
      <w:r w:rsidRPr="00F85C34">
        <w:t>Canada</w:t>
      </w:r>
      <w:r w:rsidRPr="00EF4CBC">
        <w:t xml:space="preserve"> </w:t>
      </w:r>
    </w:p>
    <w:p w:rsidR="00324B1E" w:rsidRPr="008F506A" w:rsidRDefault="00324B1E" w:rsidP="00324B1E">
      <w:pPr>
        <w:pStyle w:val="Subtitle"/>
      </w:pPr>
      <w:r>
        <w:t>Executive Terms of Reference</w:t>
      </w:r>
    </w:p>
    <w:p w:rsidR="00324B1E" w:rsidRPr="00324B1E" w:rsidRDefault="00324B1E" w:rsidP="00324B1E">
      <w:pPr>
        <w:rPr>
          <w:noProof/>
          <w:sz w:val="22"/>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39E1D263" wp14:editId="2750E99F">
            <wp:simplePos x="0" y="0"/>
            <wp:positionH relativeFrom="column">
              <wp:posOffset>3430120</wp:posOffset>
            </wp:positionH>
            <wp:positionV relativeFrom="paragraph">
              <wp:posOffset>7132532</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ascii="Lato" w:eastAsiaTheme="minorHAnsi" w:hAnsi="Lato" w:cstheme="minorBidi"/>
          <w:b w:val="0"/>
          <w:bCs w:val="0"/>
          <w:color w:val="auto"/>
          <w:sz w:val="24"/>
          <w:szCs w:val="22"/>
        </w:rPr>
        <w:id w:val="-499580255"/>
        <w:docPartObj>
          <w:docPartGallery w:val="Table of Contents"/>
          <w:docPartUnique/>
        </w:docPartObj>
      </w:sdtPr>
      <w:sdtEndPr>
        <w:rPr>
          <w:rFonts w:ascii="Arial" w:hAnsi="Arial"/>
          <w:noProof/>
          <w:szCs w:val="24"/>
        </w:rPr>
      </w:sdtEndPr>
      <w:sdtContent>
        <w:p w:rsidR="00DF021C" w:rsidRPr="00C16153" w:rsidRDefault="00DF021C">
          <w:pPr>
            <w:pStyle w:val="TOCHeading"/>
            <w:rPr>
              <w:rStyle w:val="Heading2Char"/>
              <w:b/>
              <w:bCs w:val="0"/>
              <w:sz w:val="32"/>
              <w:szCs w:val="32"/>
            </w:rPr>
          </w:pPr>
          <w:r w:rsidRPr="00C16153">
            <w:rPr>
              <w:rStyle w:val="Heading2Char"/>
              <w:b/>
              <w:bCs w:val="0"/>
              <w:sz w:val="32"/>
              <w:szCs w:val="32"/>
            </w:rPr>
            <w:t>Table of Contents</w:t>
          </w:r>
        </w:p>
        <w:p w:rsidR="0040407E" w:rsidRPr="0040407E" w:rsidRDefault="00DF021C">
          <w:pPr>
            <w:pStyle w:val="TOC1"/>
            <w:rPr>
              <w:rFonts w:ascii="Arial" w:eastAsiaTheme="minorEastAsia" w:hAnsi="Arial" w:cs="Arial"/>
              <w:b w:val="0"/>
              <w:bCs w:val="0"/>
              <w:kern w:val="2"/>
              <w:lang w:val="en-CA"/>
              <w14:ligatures w14:val="standardContextual"/>
            </w:rPr>
          </w:pPr>
          <w:r w:rsidRPr="00F37864">
            <w:rPr>
              <w:rFonts w:ascii="Arial" w:hAnsi="Arial" w:cs="Arial"/>
              <w:b w:val="0"/>
              <w:bCs w:val="0"/>
              <w:noProof w:val="0"/>
            </w:rPr>
            <w:fldChar w:fldCharType="begin"/>
          </w:r>
          <w:r w:rsidRPr="00F37864">
            <w:rPr>
              <w:rFonts w:ascii="Arial" w:hAnsi="Arial" w:cs="Arial"/>
              <w:b w:val="0"/>
              <w:bCs w:val="0"/>
            </w:rPr>
            <w:instrText xml:space="preserve"> TOC \o "1-3" \h \z \u </w:instrText>
          </w:r>
          <w:r w:rsidRPr="00F37864">
            <w:rPr>
              <w:rFonts w:ascii="Arial" w:hAnsi="Arial" w:cs="Arial"/>
              <w:b w:val="0"/>
              <w:bCs w:val="0"/>
              <w:noProof w:val="0"/>
            </w:rPr>
            <w:fldChar w:fldCharType="separate"/>
          </w:r>
          <w:hyperlink w:anchor="_Toc139958832" w:history="1">
            <w:r w:rsidR="0040407E" w:rsidRPr="0040407E">
              <w:rPr>
                <w:rStyle w:val="Hyperlink"/>
                <w:rFonts w:ascii="Arial" w:hAnsi="Arial" w:cs="Arial"/>
                <w:b w:val="0"/>
                <w:bCs w:val="0"/>
              </w:rPr>
              <w:t>Background</w:t>
            </w:r>
            <w:r w:rsidR="0040407E" w:rsidRPr="0040407E">
              <w:rPr>
                <w:rFonts w:ascii="Arial" w:hAnsi="Arial" w:cs="Arial"/>
                <w:b w:val="0"/>
                <w:bCs w:val="0"/>
                <w:webHidden/>
              </w:rPr>
              <w:tab/>
            </w:r>
            <w:r w:rsidR="0040407E" w:rsidRPr="0040407E">
              <w:rPr>
                <w:rFonts w:ascii="Arial" w:hAnsi="Arial" w:cs="Arial"/>
                <w:b w:val="0"/>
                <w:bCs w:val="0"/>
                <w:webHidden/>
              </w:rPr>
              <w:fldChar w:fldCharType="begin"/>
            </w:r>
            <w:r w:rsidR="0040407E" w:rsidRPr="0040407E">
              <w:rPr>
                <w:rFonts w:ascii="Arial" w:hAnsi="Arial" w:cs="Arial"/>
                <w:b w:val="0"/>
                <w:bCs w:val="0"/>
                <w:webHidden/>
              </w:rPr>
              <w:instrText xml:space="preserve"> PAGEREF _Toc139958832 \h </w:instrText>
            </w:r>
            <w:r w:rsidR="0040407E" w:rsidRPr="0040407E">
              <w:rPr>
                <w:rFonts w:ascii="Arial" w:hAnsi="Arial" w:cs="Arial"/>
                <w:b w:val="0"/>
                <w:bCs w:val="0"/>
                <w:webHidden/>
              </w:rPr>
            </w:r>
            <w:r w:rsidR="0040407E" w:rsidRPr="0040407E">
              <w:rPr>
                <w:rFonts w:ascii="Arial" w:hAnsi="Arial" w:cs="Arial"/>
                <w:b w:val="0"/>
                <w:bCs w:val="0"/>
                <w:webHidden/>
              </w:rPr>
              <w:fldChar w:fldCharType="separate"/>
            </w:r>
            <w:r w:rsidR="0040407E" w:rsidRPr="0040407E">
              <w:rPr>
                <w:rFonts w:ascii="Arial" w:hAnsi="Arial" w:cs="Arial"/>
                <w:b w:val="0"/>
                <w:bCs w:val="0"/>
                <w:webHidden/>
              </w:rPr>
              <w:t>2</w:t>
            </w:r>
            <w:r w:rsidR="0040407E" w:rsidRPr="0040407E">
              <w:rPr>
                <w:rFonts w:ascii="Arial" w:hAnsi="Arial" w:cs="Arial"/>
                <w:b w:val="0"/>
                <w:bCs w:val="0"/>
                <w:webHidden/>
              </w:rPr>
              <w:fldChar w:fldCharType="end"/>
            </w:r>
          </w:hyperlink>
        </w:p>
        <w:p w:rsidR="0040407E" w:rsidRPr="0040407E" w:rsidRDefault="00000000">
          <w:pPr>
            <w:pStyle w:val="TOC1"/>
            <w:rPr>
              <w:rFonts w:ascii="Arial" w:eastAsiaTheme="minorEastAsia" w:hAnsi="Arial" w:cs="Arial"/>
              <w:b w:val="0"/>
              <w:bCs w:val="0"/>
              <w:kern w:val="2"/>
              <w:lang w:val="en-CA"/>
              <w14:ligatures w14:val="standardContextual"/>
            </w:rPr>
          </w:pPr>
          <w:hyperlink w:anchor="_Toc139958833" w:history="1">
            <w:r w:rsidR="0040407E" w:rsidRPr="0040407E">
              <w:rPr>
                <w:rStyle w:val="Hyperlink"/>
                <w:rFonts w:ascii="Arial" w:hAnsi="Arial" w:cs="Arial"/>
                <w:b w:val="0"/>
                <w:bCs w:val="0"/>
              </w:rPr>
              <w:t>Purpose</w:t>
            </w:r>
            <w:r w:rsidR="0040407E" w:rsidRPr="0040407E">
              <w:rPr>
                <w:rFonts w:ascii="Arial" w:hAnsi="Arial" w:cs="Arial"/>
                <w:b w:val="0"/>
                <w:bCs w:val="0"/>
                <w:webHidden/>
              </w:rPr>
              <w:tab/>
            </w:r>
            <w:r w:rsidR="0040407E" w:rsidRPr="0040407E">
              <w:rPr>
                <w:rFonts w:ascii="Arial" w:hAnsi="Arial" w:cs="Arial"/>
                <w:b w:val="0"/>
                <w:bCs w:val="0"/>
                <w:webHidden/>
              </w:rPr>
              <w:fldChar w:fldCharType="begin"/>
            </w:r>
            <w:r w:rsidR="0040407E" w:rsidRPr="0040407E">
              <w:rPr>
                <w:rFonts w:ascii="Arial" w:hAnsi="Arial" w:cs="Arial"/>
                <w:b w:val="0"/>
                <w:bCs w:val="0"/>
                <w:webHidden/>
              </w:rPr>
              <w:instrText xml:space="preserve"> PAGEREF _Toc139958833 \h </w:instrText>
            </w:r>
            <w:r w:rsidR="0040407E" w:rsidRPr="0040407E">
              <w:rPr>
                <w:rFonts w:ascii="Arial" w:hAnsi="Arial" w:cs="Arial"/>
                <w:b w:val="0"/>
                <w:bCs w:val="0"/>
                <w:webHidden/>
              </w:rPr>
            </w:r>
            <w:r w:rsidR="0040407E" w:rsidRPr="0040407E">
              <w:rPr>
                <w:rFonts w:ascii="Arial" w:hAnsi="Arial" w:cs="Arial"/>
                <w:b w:val="0"/>
                <w:bCs w:val="0"/>
                <w:webHidden/>
              </w:rPr>
              <w:fldChar w:fldCharType="separate"/>
            </w:r>
            <w:r w:rsidR="0040407E" w:rsidRPr="0040407E">
              <w:rPr>
                <w:rFonts w:ascii="Arial" w:hAnsi="Arial" w:cs="Arial"/>
                <w:b w:val="0"/>
                <w:bCs w:val="0"/>
                <w:webHidden/>
              </w:rPr>
              <w:t>2</w:t>
            </w:r>
            <w:r w:rsidR="0040407E" w:rsidRPr="0040407E">
              <w:rPr>
                <w:rFonts w:ascii="Arial" w:hAnsi="Arial" w:cs="Arial"/>
                <w:b w:val="0"/>
                <w:bCs w:val="0"/>
                <w:webHidden/>
              </w:rPr>
              <w:fldChar w:fldCharType="end"/>
            </w:r>
          </w:hyperlink>
        </w:p>
        <w:p w:rsidR="0040407E" w:rsidRPr="0040407E" w:rsidRDefault="00000000">
          <w:pPr>
            <w:pStyle w:val="TOC1"/>
            <w:rPr>
              <w:rFonts w:ascii="Arial" w:eastAsiaTheme="minorEastAsia" w:hAnsi="Arial" w:cs="Arial"/>
              <w:b w:val="0"/>
              <w:bCs w:val="0"/>
              <w:kern w:val="2"/>
              <w:lang w:val="en-CA"/>
              <w14:ligatures w14:val="standardContextual"/>
            </w:rPr>
          </w:pPr>
          <w:hyperlink w:anchor="_Toc139958834" w:history="1">
            <w:r w:rsidR="0040407E" w:rsidRPr="0040407E">
              <w:rPr>
                <w:rStyle w:val="Hyperlink"/>
                <w:rFonts w:ascii="Arial" w:hAnsi="Arial" w:cs="Arial"/>
                <w:b w:val="0"/>
                <w:bCs w:val="0"/>
              </w:rPr>
              <w:t>Role</w:t>
            </w:r>
            <w:r w:rsidR="0040407E" w:rsidRPr="0040407E">
              <w:rPr>
                <w:rFonts w:ascii="Arial" w:hAnsi="Arial" w:cs="Arial"/>
                <w:b w:val="0"/>
                <w:bCs w:val="0"/>
                <w:webHidden/>
              </w:rPr>
              <w:tab/>
            </w:r>
            <w:r w:rsidR="0040407E" w:rsidRPr="0040407E">
              <w:rPr>
                <w:rFonts w:ascii="Arial" w:hAnsi="Arial" w:cs="Arial"/>
                <w:b w:val="0"/>
                <w:bCs w:val="0"/>
                <w:webHidden/>
              </w:rPr>
              <w:fldChar w:fldCharType="begin"/>
            </w:r>
            <w:r w:rsidR="0040407E" w:rsidRPr="0040407E">
              <w:rPr>
                <w:rFonts w:ascii="Arial" w:hAnsi="Arial" w:cs="Arial"/>
                <w:b w:val="0"/>
                <w:bCs w:val="0"/>
                <w:webHidden/>
              </w:rPr>
              <w:instrText xml:space="preserve"> PAGEREF _Toc139958834 \h </w:instrText>
            </w:r>
            <w:r w:rsidR="0040407E" w:rsidRPr="0040407E">
              <w:rPr>
                <w:rFonts w:ascii="Arial" w:hAnsi="Arial" w:cs="Arial"/>
                <w:b w:val="0"/>
                <w:bCs w:val="0"/>
                <w:webHidden/>
              </w:rPr>
            </w:r>
            <w:r w:rsidR="0040407E" w:rsidRPr="0040407E">
              <w:rPr>
                <w:rFonts w:ascii="Arial" w:hAnsi="Arial" w:cs="Arial"/>
                <w:b w:val="0"/>
                <w:bCs w:val="0"/>
                <w:webHidden/>
              </w:rPr>
              <w:fldChar w:fldCharType="separate"/>
            </w:r>
            <w:r w:rsidR="0040407E" w:rsidRPr="0040407E">
              <w:rPr>
                <w:rFonts w:ascii="Arial" w:hAnsi="Arial" w:cs="Arial"/>
                <w:b w:val="0"/>
                <w:bCs w:val="0"/>
                <w:webHidden/>
              </w:rPr>
              <w:t>2</w:t>
            </w:r>
            <w:r w:rsidR="0040407E" w:rsidRPr="0040407E">
              <w:rPr>
                <w:rFonts w:ascii="Arial" w:hAnsi="Arial" w:cs="Arial"/>
                <w:b w:val="0"/>
                <w:bCs w:val="0"/>
                <w:webHidden/>
              </w:rPr>
              <w:fldChar w:fldCharType="end"/>
            </w:r>
          </w:hyperlink>
        </w:p>
        <w:p w:rsidR="0040407E" w:rsidRPr="0040407E" w:rsidRDefault="00000000">
          <w:pPr>
            <w:pStyle w:val="TOC1"/>
            <w:rPr>
              <w:rFonts w:ascii="Arial" w:eastAsiaTheme="minorEastAsia" w:hAnsi="Arial" w:cs="Arial"/>
              <w:b w:val="0"/>
              <w:bCs w:val="0"/>
              <w:kern w:val="2"/>
              <w:lang w:val="en-CA"/>
              <w14:ligatures w14:val="standardContextual"/>
            </w:rPr>
          </w:pPr>
          <w:hyperlink w:anchor="_Toc139958835" w:history="1">
            <w:r w:rsidR="0040407E" w:rsidRPr="0040407E">
              <w:rPr>
                <w:rStyle w:val="Hyperlink"/>
                <w:rFonts w:ascii="Arial" w:hAnsi="Arial" w:cs="Arial"/>
                <w:b w:val="0"/>
                <w:bCs w:val="0"/>
              </w:rPr>
              <w:t>Membership</w:t>
            </w:r>
            <w:r w:rsidR="0040407E" w:rsidRPr="0040407E">
              <w:rPr>
                <w:rFonts w:ascii="Arial" w:hAnsi="Arial" w:cs="Arial"/>
                <w:b w:val="0"/>
                <w:bCs w:val="0"/>
                <w:webHidden/>
              </w:rPr>
              <w:tab/>
            </w:r>
            <w:r w:rsidR="0040407E" w:rsidRPr="0040407E">
              <w:rPr>
                <w:rFonts w:ascii="Arial" w:hAnsi="Arial" w:cs="Arial"/>
                <w:b w:val="0"/>
                <w:bCs w:val="0"/>
                <w:webHidden/>
              </w:rPr>
              <w:fldChar w:fldCharType="begin"/>
            </w:r>
            <w:r w:rsidR="0040407E" w:rsidRPr="0040407E">
              <w:rPr>
                <w:rFonts w:ascii="Arial" w:hAnsi="Arial" w:cs="Arial"/>
                <w:b w:val="0"/>
                <w:bCs w:val="0"/>
                <w:webHidden/>
              </w:rPr>
              <w:instrText xml:space="preserve"> PAGEREF _Toc139958835 \h </w:instrText>
            </w:r>
            <w:r w:rsidR="0040407E" w:rsidRPr="0040407E">
              <w:rPr>
                <w:rFonts w:ascii="Arial" w:hAnsi="Arial" w:cs="Arial"/>
                <w:b w:val="0"/>
                <w:bCs w:val="0"/>
                <w:webHidden/>
              </w:rPr>
            </w:r>
            <w:r w:rsidR="0040407E" w:rsidRPr="0040407E">
              <w:rPr>
                <w:rFonts w:ascii="Arial" w:hAnsi="Arial" w:cs="Arial"/>
                <w:b w:val="0"/>
                <w:bCs w:val="0"/>
                <w:webHidden/>
              </w:rPr>
              <w:fldChar w:fldCharType="separate"/>
            </w:r>
            <w:r w:rsidR="0040407E" w:rsidRPr="0040407E">
              <w:rPr>
                <w:rFonts w:ascii="Arial" w:hAnsi="Arial" w:cs="Arial"/>
                <w:b w:val="0"/>
                <w:bCs w:val="0"/>
                <w:webHidden/>
              </w:rPr>
              <w:t>3</w:t>
            </w:r>
            <w:r w:rsidR="0040407E" w:rsidRPr="0040407E">
              <w:rPr>
                <w:rFonts w:ascii="Arial" w:hAnsi="Arial" w:cs="Arial"/>
                <w:b w:val="0"/>
                <w:bCs w:val="0"/>
                <w:webHidden/>
              </w:rPr>
              <w:fldChar w:fldCharType="end"/>
            </w:r>
          </w:hyperlink>
        </w:p>
        <w:p w:rsidR="0040407E" w:rsidRPr="0040407E" w:rsidRDefault="00000000">
          <w:pPr>
            <w:pStyle w:val="TOC1"/>
            <w:rPr>
              <w:rFonts w:ascii="Arial" w:eastAsiaTheme="minorEastAsia" w:hAnsi="Arial" w:cs="Arial"/>
              <w:b w:val="0"/>
              <w:bCs w:val="0"/>
              <w:kern w:val="2"/>
              <w:lang w:val="en-CA"/>
              <w14:ligatures w14:val="standardContextual"/>
            </w:rPr>
          </w:pPr>
          <w:hyperlink w:anchor="_Toc139958836" w:history="1">
            <w:r w:rsidR="0040407E" w:rsidRPr="0040407E">
              <w:rPr>
                <w:rStyle w:val="Hyperlink"/>
                <w:rFonts w:ascii="Arial" w:hAnsi="Arial" w:cs="Arial"/>
                <w:b w:val="0"/>
                <w:bCs w:val="0"/>
              </w:rPr>
              <w:t>Accountability</w:t>
            </w:r>
            <w:r w:rsidR="0040407E" w:rsidRPr="0040407E">
              <w:rPr>
                <w:rFonts w:ascii="Arial" w:hAnsi="Arial" w:cs="Arial"/>
                <w:b w:val="0"/>
                <w:bCs w:val="0"/>
                <w:webHidden/>
              </w:rPr>
              <w:tab/>
            </w:r>
            <w:r w:rsidR="0040407E" w:rsidRPr="0040407E">
              <w:rPr>
                <w:rFonts w:ascii="Arial" w:hAnsi="Arial" w:cs="Arial"/>
                <w:b w:val="0"/>
                <w:bCs w:val="0"/>
                <w:webHidden/>
              </w:rPr>
              <w:fldChar w:fldCharType="begin"/>
            </w:r>
            <w:r w:rsidR="0040407E" w:rsidRPr="0040407E">
              <w:rPr>
                <w:rFonts w:ascii="Arial" w:hAnsi="Arial" w:cs="Arial"/>
                <w:b w:val="0"/>
                <w:bCs w:val="0"/>
                <w:webHidden/>
              </w:rPr>
              <w:instrText xml:space="preserve"> PAGEREF _Toc139958836 \h </w:instrText>
            </w:r>
            <w:r w:rsidR="0040407E" w:rsidRPr="0040407E">
              <w:rPr>
                <w:rFonts w:ascii="Arial" w:hAnsi="Arial" w:cs="Arial"/>
                <w:b w:val="0"/>
                <w:bCs w:val="0"/>
                <w:webHidden/>
              </w:rPr>
            </w:r>
            <w:r w:rsidR="0040407E" w:rsidRPr="0040407E">
              <w:rPr>
                <w:rFonts w:ascii="Arial" w:hAnsi="Arial" w:cs="Arial"/>
                <w:b w:val="0"/>
                <w:bCs w:val="0"/>
                <w:webHidden/>
              </w:rPr>
              <w:fldChar w:fldCharType="separate"/>
            </w:r>
            <w:r w:rsidR="0040407E" w:rsidRPr="0040407E">
              <w:rPr>
                <w:rFonts w:ascii="Arial" w:hAnsi="Arial" w:cs="Arial"/>
                <w:b w:val="0"/>
                <w:bCs w:val="0"/>
                <w:webHidden/>
              </w:rPr>
              <w:t>3</w:t>
            </w:r>
            <w:r w:rsidR="0040407E" w:rsidRPr="0040407E">
              <w:rPr>
                <w:rFonts w:ascii="Arial" w:hAnsi="Arial" w:cs="Arial"/>
                <w:b w:val="0"/>
                <w:bCs w:val="0"/>
                <w:webHidden/>
              </w:rPr>
              <w:fldChar w:fldCharType="end"/>
            </w:r>
          </w:hyperlink>
        </w:p>
        <w:p w:rsidR="0040407E" w:rsidRPr="0040407E" w:rsidRDefault="00000000">
          <w:pPr>
            <w:pStyle w:val="TOC1"/>
            <w:rPr>
              <w:rFonts w:ascii="Arial" w:eastAsiaTheme="minorEastAsia" w:hAnsi="Arial" w:cs="Arial"/>
              <w:b w:val="0"/>
              <w:bCs w:val="0"/>
              <w:kern w:val="2"/>
              <w:lang w:val="en-CA"/>
              <w14:ligatures w14:val="standardContextual"/>
            </w:rPr>
          </w:pPr>
          <w:hyperlink w:anchor="_Toc139958837" w:history="1">
            <w:r w:rsidR="0040407E" w:rsidRPr="0040407E">
              <w:rPr>
                <w:rStyle w:val="Hyperlink"/>
                <w:rFonts w:ascii="Arial" w:hAnsi="Arial" w:cs="Arial"/>
                <w:b w:val="0"/>
                <w:bCs w:val="0"/>
              </w:rPr>
              <w:t>Quorum</w:t>
            </w:r>
            <w:r w:rsidR="0040407E" w:rsidRPr="0040407E">
              <w:rPr>
                <w:rFonts w:ascii="Arial" w:hAnsi="Arial" w:cs="Arial"/>
                <w:b w:val="0"/>
                <w:bCs w:val="0"/>
                <w:webHidden/>
              </w:rPr>
              <w:tab/>
            </w:r>
            <w:r w:rsidR="0040407E" w:rsidRPr="0040407E">
              <w:rPr>
                <w:rFonts w:ascii="Arial" w:hAnsi="Arial" w:cs="Arial"/>
                <w:b w:val="0"/>
                <w:bCs w:val="0"/>
                <w:webHidden/>
              </w:rPr>
              <w:fldChar w:fldCharType="begin"/>
            </w:r>
            <w:r w:rsidR="0040407E" w:rsidRPr="0040407E">
              <w:rPr>
                <w:rFonts w:ascii="Arial" w:hAnsi="Arial" w:cs="Arial"/>
                <w:b w:val="0"/>
                <w:bCs w:val="0"/>
                <w:webHidden/>
              </w:rPr>
              <w:instrText xml:space="preserve"> PAGEREF _Toc139958837 \h </w:instrText>
            </w:r>
            <w:r w:rsidR="0040407E" w:rsidRPr="0040407E">
              <w:rPr>
                <w:rFonts w:ascii="Arial" w:hAnsi="Arial" w:cs="Arial"/>
                <w:b w:val="0"/>
                <w:bCs w:val="0"/>
                <w:webHidden/>
              </w:rPr>
            </w:r>
            <w:r w:rsidR="0040407E" w:rsidRPr="0040407E">
              <w:rPr>
                <w:rFonts w:ascii="Arial" w:hAnsi="Arial" w:cs="Arial"/>
                <w:b w:val="0"/>
                <w:bCs w:val="0"/>
                <w:webHidden/>
              </w:rPr>
              <w:fldChar w:fldCharType="separate"/>
            </w:r>
            <w:r w:rsidR="0040407E" w:rsidRPr="0040407E">
              <w:rPr>
                <w:rFonts w:ascii="Arial" w:hAnsi="Arial" w:cs="Arial"/>
                <w:b w:val="0"/>
                <w:bCs w:val="0"/>
                <w:webHidden/>
              </w:rPr>
              <w:t>4</w:t>
            </w:r>
            <w:r w:rsidR="0040407E" w:rsidRPr="0040407E">
              <w:rPr>
                <w:rFonts w:ascii="Arial" w:hAnsi="Arial" w:cs="Arial"/>
                <w:b w:val="0"/>
                <w:bCs w:val="0"/>
                <w:webHidden/>
              </w:rPr>
              <w:fldChar w:fldCharType="end"/>
            </w:r>
          </w:hyperlink>
        </w:p>
        <w:p w:rsidR="0040407E" w:rsidRPr="0040407E" w:rsidRDefault="00000000">
          <w:pPr>
            <w:pStyle w:val="TOC1"/>
            <w:rPr>
              <w:rFonts w:ascii="Arial" w:eastAsiaTheme="minorEastAsia" w:hAnsi="Arial" w:cs="Arial"/>
              <w:b w:val="0"/>
              <w:bCs w:val="0"/>
              <w:kern w:val="2"/>
              <w:lang w:val="en-CA"/>
              <w14:ligatures w14:val="standardContextual"/>
            </w:rPr>
          </w:pPr>
          <w:hyperlink w:anchor="_Toc139958838" w:history="1">
            <w:r w:rsidR="0040407E" w:rsidRPr="0040407E">
              <w:rPr>
                <w:rStyle w:val="Hyperlink"/>
                <w:rFonts w:ascii="Arial" w:hAnsi="Arial" w:cs="Arial"/>
                <w:b w:val="0"/>
                <w:bCs w:val="0"/>
              </w:rPr>
              <w:t>Decision Making</w:t>
            </w:r>
            <w:r w:rsidR="0040407E" w:rsidRPr="0040407E">
              <w:rPr>
                <w:rFonts w:ascii="Arial" w:hAnsi="Arial" w:cs="Arial"/>
                <w:b w:val="0"/>
                <w:bCs w:val="0"/>
                <w:webHidden/>
              </w:rPr>
              <w:tab/>
            </w:r>
            <w:r w:rsidR="0040407E" w:rsidRPr="0040407E">
              <w:rPr>
                <w:rFonts w:ascii="Arial" w:hAnsi="Arial" w:cs="Arial"/>
                <w:b w:val="0"/>
                <w:bCs w:val="0"/>
                <w:webHidden/>
              </w:rPr>
              <w:fldChar w:fldCharType="begin"/>
            </w:r>
            <w:r w:rsidR="0040407E" w:rsidRPr="0040407E">
              <w:rPr>
                <w:rFonts w:ascii="Arial" w:hAnsi="Arial" w:cs="Arial"/>
                <w:b w:val="0"/>
                <w:bCs w:val="0"/>
                <w:webHidden/>
              </w:rPr>
              <w:instrText xml:space="preserve"> PAGEREF _Toc139958838 \h </w:instrText>
            </w:r>
            <w:r w:rsidR="0040407E" w:rsidRPr="0040407E">
              <w:rPr>
                <w:rFonts w:ascii="Arial" w:hAnsi="Arial" w:cs="Arial"/>
                <w:b w:val="0"/>
                <w:bCs w:val="0"/>
                <w:webHidden/>
              </w:rPr>
            </w:r>
            <w:r w:rsidR="0040407E" w:rsidRPr="0040407E">
              <w:rPr>
                <w:rFonts w:ascii="Arial" w:hAnsi="Arial" w:cs="Arial"/>
                <w:b w:val="0"/>
                <w:bCs w:val="0"/>
                <w:webHidden/>
              </w:rPr>
              <w:fldChar w:fldCharType="separate"/>
            </w:r>
            <w:r w:rsidR="0040407E" w:rsidRPr="0040407E">
              <w:rPr>
                <w:rFonts w:ascii="Arial" w:hAnsi="Arial" w:cs="Arial"/>
                <w:b w:val="0"/>
                <w:bCs w:val="0"/>
                <w:webHidden/>
              </w:rPr>
              <w:t>4</w:t>
            </w:r>
            <w:r w:rsidR="0040407E" w:rsidRPr="0040407E">
              <w:rPr>
                <w:rFonts w:ascii="Arial" w:hAnsi="Arial" w:cs="Arial"/>
                <w:b w:val="0"/>
                <w:bCs w:val="0"/>
                <w:webHidden/>
              </w:rPr>
              <w:fldChar w:fldCharType="end"/>
            </w:r>
          </w:hyperlink>
        </w:p>
        <w:p w:rsidR="0040407E" w:rsidRPr="0040407E" w:rsidRDefault="00000000">
          <w:pPr>
            <w:pStyle w:val="TOC1"/>
            <w:rPr>
              <w:rFonts w:ascii="Arial" w:eastAsiaTheme="minorEastAsia" w:hAnsi="Arial" w:cs="Arial"/>
              <w:b w:val="0"/>
              <w:bCs w:val="0"/>
              <w:kern w:val="2"/>
              <w:lang w:val="en-CA"/>
              <w14:ligatures w14:val="standardContextual"/>
            </w:rPr>
          </w:pPr>
          <w:hyperlink w:anchor="_Toc139958839" w:history="1">
            <w:r w:rsidR="0040407E" w:rsidRPr="0040407E">
              <w:rPr>
                <w:rStyle w:val="Hyperlink"/>
                <w:rFonts w:ascii="Arial" w:hAnsi="Arial" w:cs="Arial"/>
                <w:b w:val="0"/>
                <w:bCs w:val="0"/>
              </w:rPr>
              <w:t>Member Responsibilities</w:t>
            </w:r>
            <w:r w:rsidR="0040407E" w:rsidRPr="0040407E">
              <w:rPr>
                <w:rFonts w:ascii="Arial" w:hAnsi="Arial" w:cs="Arial"/>
                <w:b w:val="0"/>
                <w:bCs w:val="0"/>
                <w:webHidden/>
              </w:rPr>
              <w:tab/>
            </w:r>
            <w:r w:rsidR="0040407E" w:rsidRPr="0040407E">
              <w:rPr>
                <w:rFonts w:ascii="Arial" w:hAnsi="Arial" w:cs="Arial"/>
                <w:b w:val="0"/>
                <w:bCs w:val="0"/>
                <w:webHidden/>
              </w:rPr>
              <w:fldChar w:fldCharType="begin"/>
            </w:r>
            <w:r w:rsidR="0040407E" w:rsidRPr="0040407E">
              <w:rPr>
                <w:rFonts w:ascii="Arial" w:hAnsi="Arial" w:cs="Arial"/>
                <w:b w:val="0"/>
                <w:bCs w:val="0"/>
                <w:webHidden/>
              </w:rPr>
              <w:instrText xml:space="preserve"> PAGEREF _Toc139958839 \h </w:instrText>
            </w:r>
            <w:r w:rsidR="0040407E" w:rsidRPr="0040407E">
              <w:rPr>
                <w:rFonts w:ascii="Arial" w:hAnsi="Arial" w:cs="Arial"/>
                <w:b w:val="0"/>
                <w:bCs w:val="0"/>
                <w:webHidden/>
              </w:rPr>
            </w:r>
            <w:r w:rsidR="0040407E" w:rsidRPr="0040407E">
              <w:rPr>
                <w:rFonts w:ascii="Arial" w:hAnsi="Arial" w:cs="Arial"/>
                <w:b w:val="0"/>
                <w:bCs w:val="0"/>
                <w:webHidden/>
              </w:rPr>
              <w:fldChar w:fldCharType="separate"/>
            </w:r>
            <w:r w:rsidR="0040407E" w:rsidRPr="0040407E">
              <w:rPr>
                <w:rFonts w:ascii="Arial" w:hAnsi="Arial" w:cs="Arial"/>
                <w:b w:val="0"/>
                <w:bCs w:val="0"/>
                <w:webHidden/>
              </w:rPr>
              <w:t>5</w:t>
            </w:r>
            <w:r w:rsidR="0040407E" w:rsidRPr="0040407E">
              <w:rPr>
                <w:rFonts w:ascii="Arial" w:hAnsi="Arial" w:cs="Arial"/>
                <w:b w:val="0"/>
                <w:bCs w:val="0"/>
                <w:webHidden/>
              </w:rPr>
              <w:fldChar w:fldCharType="end"/>
            </w:r>
          </w:hyperlink>
        </w:p>
        <w:p w:rsidR="0040407E" w:rsidRPr="0040407E" w:rsidRDefault="00000000">
          <w:pPr>
            <w:pStyle w:val="TOC1"/>
            <w:rPr>
              <w:rFonts w:ascii="Arial" w:eastAsiaTheme="minorEastAsia" w:hAnsi="Arial" w:cs="Arial"/>
              <w:b w:val="0"/>
              <w:bCs w:val="0"/>
              <w:kern w:val="2"/>
              <w:lang w:val="en-CA"/>
              <w14:ligatures w14:val="standardContextual"/>
            </w:rPr>
          </w:pPr>
          <w:hyperlink w:anchor="_Toc139958840" w:history="1">
            <w:r w:rsidR="0040407E" w:rsidRPr="0040407E">
              <w:rPr>
                <w:rStyle w:val="Hyperlink"/>
                <w:rFonts w:ascii="Arial" w:hAnsi="Arial" w:cs="Arial"/>
                <w:b w:val="0"/>
                <w:bCs w:val="0"/>
              </w:rPr>
              <w:t>Meeting Frequency and Agenda</w:t>
            </w:r>
            <w:r w:rsidR="0040407E" w:rsidRPr="0040407E">
              <w:rPr>
                <w:rFonts w:ascii="Arial" w:hAnsi="Arial" w:cs="Arial"/>
                <w:b w:val="0"/>
                <w:bCs w:val="0"/>
                <w:webHidden/>
              </w:rPr>
              <w:tab/>
            </w:r>
            <w:r w:rsidR="0040407E" w:rsidRPr="0040407E">
              <w:rPr>
                <w:rFonts w:ascii="Arial" w:hAnsi="Arial" w:cs="Arial"/>
                <w:b w:val="0"/>
                <w:bCs w:val="0"/>
                <w:webHidden/>
              </w:rPr>
              <w:fldChar w:fldCharType="begin"/>
            </w:r>
            <w:r w:rsidR="0040407E" w:rsidRPr="0040407E">
              <w:rPr>
                <w:rFonts w:ascii="Arial" w:hAnsi="Arial" w:cs="Arial"/>
                <w:b w:val="0"/>
                <w:bCs w:val="0"/>
                <w:webHidden/>
              </w:rPr>
              <w:instrText xml:space="preserve"> PAGEREF _Toc139958840 \h </w:instrText>
            </w:r>
            <w:r w:rsidR="0040407E" w:rsidRPr="0040407E">
              <w:rPr>
                <w:rFonts w:ascii="Arial" w:hAnsi="Arial" w:cs="Arial"/>
                <w:b w:val="0"/>
                <w:bCs w:val="0"/>
                <w:webHidden/>
              </w:rPr>
            </w:r>
            <w:r w:rsidR="0040407E" w:rsidRPr="0040407E">
              <w:rPr>
                <w:rFonts w:ascii="Arial" w:hAnsi="Arial" w:cs="Arial"/>
                <w:b w:val="0"/>
                <w:bCs w:val="0"/>
                <w:webHidden/>
              </w:rPr>
              <w:fldChar w:fldCharType="separate"/>
            </w:r>
            <w:r w:rsidR="0040407E" w:rsidRPr="0040407E">
              <w:rPr>
                <w:rFonts w:ascii="Arial" w:hAnsi="Arial" w:cs="Arial"/>
                <w:b w:val="0"/>
                <w:bCs w:val="0"/>
                <w:webHidden/>
              </w:rPr>
              <w:t>5</w:t>
            </w:r>
            <w:r w:rsidR="0040407E" w:rsidRPr="0040407E">
              <w:rPr>
                <w:rFonts w:ascii="Arial" w:hAnsi="Arial" w:cs="Arial"/>
                <w:b w:val="0"/>
                <w:bCs w:val="0"/>
                <w:webHidden/>
              </w:rPr>
              <w:fldChar w:fldCharType="end"/>
            </w:r>
          </w:hyperlink>
        </w:p>
        <w:p w:rsidR="0040407E" w:rsidRPr="0040407E" w:rsidRDefault="00000000">
          <w:pPr>
            <w:pStyle w:val="TOC1"/>
            <w:rPr>
              <w:rFonts w:ascii="Arial" w:eastAsiaTheme="minorEastAsia" w:hAnsi="Arial" w:cs="Arial"/>
              <w:b w:val="0"/>
              <w:bCs w:val="0"/>
              <w:kern w:val="2"/>
              <w:lang w:val="en-CA"/>
              <w14:ligatures w14:val="standardContextual"/>
            </w:rPr>
          </w:pPr>
          <w:hyperlink w:anchor="_Toc139958841" w:history="1">
            <w:r w:rsidR="0040407E" w:rsidRPr="0040407E">
              <w:rPr>
                <w:rStyle w:val="Hyperlink"/>
                <w:rFonts w:ascii="Arial" w:hAnsi="Arial" w:cs="Arial"/>
                <w:b w:val="0"/>
                <w:bCs w:val="0"/>
              </w:rPr>
              <w:t>Conflict of Interest</w:t>
            </w:r>
            <w:r w:rsidR="0040407E" w:rsidRPr="0040407E">
              <w:rPr>
                <w:rFonts w:ascii="Arial" w:hAnsi="Arial" w:cs="Arial"/>
                <w:b w:val="0"/>
                <w:bCs w:val="0"/>
                <w:webHidden/>
              </w:rPr>
              <w:tab/>
            </w:r>
            <w:r w:rsidR="0040407E" w:rsidRPr="0040407E">
              <w:rPr>
                <w:rFonts w:ascii="Arial" w:hAnsi="Arial" w:cs="Arial"/>
                <w:b w:val="0"/>
                <w:bCs w:val="0"/>
                <w:webHidden/>
              </w:rPr>
              <w:fldChar w:fldCharType="begin"/>
            </w:r>
            <w:r w:rsidR="0040407E" w:rsidRPr="0040407E">
              <w:rPr>
                <w:rFonts w:ascii="Arial" w:hAnsi="Arial" w:cs="Arial"/>
                <w:b w:val="0"/>
                <w:bCs w:val="0"/>
                <w:webHidden/>
              </w:rPr>
              <w:instrText xml:space="preserve"> PAGEREF _Toc139958841 \h </w:instrText>
            </w:r>
            <w:r w:rsidR="0040407E" w:rsidRPr="0040407E">
              <w:rPr>
                <w:rFonts w:ascii="Arial" w:hAnsi="Arial" w:cs="Arial"/>
                <w:b w:val="0"/>
                <w:bCs w:val="0"/>
                <w:webHidden/>
              </w:rPr>
            </w:r>
            <w:r w:rsidR="0040407E" w:rsidRPr="0040407E">
              <w:rPr>
                <w:rFonts w:ascii="Arial" w:hAnsi="Arial" w:cs="Arial"/>
                <w:b w:val="0"/>
                <w:bCs w:val="0"/>
                <w:webHidden/>
              </w:rPr>
              <w:fldChar w:fldCharType="separate"/>
            </w:r>
            <w:r w:rsidR="0040407E" w:rsidRPr="0040407E">
              <w:rPr>
                <w:rFonts w:ascii="Arial" w:hAnsi="Arial" w:cs="Arial"/>
                <w:b w:val="0"/>
                <w:bCs w:val="0"/>
                <w:webHidden/>
              </w:rPr>
              <w:t>6</w:t>
            </w:r>
            <w:r w:rsidR="0040407E" w:rsidRPr="0040407E">
              <w:rPr>
                <w:rFonts w:ascii="Arial" w:hAnsi="Arial" w:cs="Arial"/>
                <w:b w:val="0"/>
                <w:bCs w:val="0"/>
                <w:webHidden/>
              </w:rPr>
              <w:fldChar w:fldCharType="end"/>
            </w:r>
          </w:hyperlink>
        </w:p>
        <w:p w:rsidR="0040407E" w:rsidRPr="0040407E" w:rsidRDefault="00000000">
          <w:pPr>
            <w:pStyle w:val="TOC1"/>
            <w:rPr>
              <w:rFonts w:ascii="Arial" w:eastAsiaTheme="minorEastAsia" w:hAnsi="Arial" w:cs="Arial"/>
              <w:b w:val="0"/>
              <w:bCs w:val="0"/>
              <w:kern w:val="2"/>
              <w:lang w:val="en-CA"/>
              <w14:ligatures w14:val="standardContextual"/>
            </w:rPr>
          </w:pPr>
          <w:hyperlink w:anchor="_Toc139958842" w:history="1">
            <w:r w:rsidR="0040407E" w:rsidRPr="0040407E">
              <w:rPr>
                <w:rStyle w:val="Hyperlink"/>
                <w:rFonts w:ascii="Arial" w:hAnsi="Arial" w:cs="Arial"/>
                <w:b w:val="0"/>
                <w:bCs w:val="0"/>
              </w:rPr>
              <w:t>Confidentiality</w:t>
            </w:r>
            <w:r w:rsidR="0040407E" w:rsidRPr="0040407E">
              <w:rPr>
                <w:rFonts w:ascii="Arial" w:hAnsi="Arial" w:cs="Arial"/>
                <w:b w:val="0"/>
                <w:bCs w:val="0"/>
                <w:webHidden/>
              </w:rPr>
              <w:tab/>
            </w:r>
            <w:r w:rsidR="0040407E" w:rsidRPr="0040407E">
              <w:rPr>
                <w:rFonts w:ascii="Arial" w:hAnsi="Arial" w:cs="Arial"/>
                <w:b w:val="0"/>
                <w:bCs w:val="0"/>
                <w:webHidden/>
              </w:rPr>
              <w:fldChar w:fldCharType="begin"/>
            </w:r>
            <w:r w:rsidR="0040407E" w:rsidRPr="0040407E">
              <w:rPr>
                <w:rFonts w:ascii="Arial" w:hAnsi="Arial" w:cs="Arial"/>
                <w:b w:val="0"/>
                <w:bCs w:val="0"/>
                <w:webHidden/>
              </w:rPr>
              <w:instrText xml:space="preserve"> PAGEREF _Toc139958842 \h </w:instrText>
            </w:r>
            <w:r w:rsidR="0040407E" w:rsidRPr="0040407E">
              <w:rPr>
                <w:rFonts w:ascii="Arial" w:hAnsi="Arial" w:cs="Arial"/>
                <w:b w:val="0"/>
                <w:bCs w:val="0"/>
                <w:webHidden/>
              </w:rPr>
            </w:r>
            <w:r w:rsidR="0040407E" w:rsidRPr="0040407E">
              <w:rPr>
                <w:rFonts w:ascii="Arial" w:hAnsi="Arial" w:cs="Arial"/>
                <w:b w:val="0"/>
                <w:bCs w:val="0"/>
                <w:webHidden/>
              </w:rPr>
              <w:fldChar w:fldCharType="separate"/>
            </w:r>
            <w:r w:rsidR="0040407E" w:rsidRPr="0040407E">
              <w:rPr>
                <w:rFonts w:ascii="Arial" w:hAnsi="Arial" w:cs="Arial"/>
                <w:b w:val="0"/>
                <w:bCs w:val="0"/>
                <w:webHidden/>
              </w:rPr>
              <w:t>7</w:t>
            </w:r>
            <w:r w:rsidR="0040407E" w:rsidRPr="0040407E">
              <w:rPr>
                <w:rFonts w:ascii="Arial" w:hAnsi="Arial" w:cs="Arial"/>
                <w:b w:val="0"/>
                <w:bCs w:val="0"/>
                <w:webHidden/>
              </w:rPr>
              <w:fldChar w:fldCharType="end"/>
            </w:r>
          </w:hyperlink>
        </w:p>
        <w:p w:rsidR="0040407E" w:rsidRPr="0040407E" w:rsidRDefault="00000000">
          <w:pPr>
            <w:pStyle w:val="TOC1"/>
            <w:rPr>
              <w:rFonts w:ascii="Arial" w:eastAsiaTheme="minorEastAsia" w:hAnsi="Arial" w:cs="Arial"/>
              <w:b w:val="0"/>
              <w:bCs w:val="0"/>
              <w:kern w:val="2"/>
              <w:lang w:val="en-CA"/>
              <w14:ligatures w14:val="standardContextual"/>
            </w:rPr>
          </w:pPr>
          <w:hyperlink w:anchor="_Toc139958843" w:history="1">
            <w:r w:rsidR="0040407E" w:rsidRPr="0040407E">
              <w:rPr>
                <w:rStyle w:val="Hyperlink"/>
                <w:rFonts w:ascii="Arial" w:hAnsi="Arial" w:cs="Arial"/>
                <w:b w:val="0"/>
                <w:bCs w:val="0"/>
              </w:rPr>
              <w:t>Administration and Review Frequency</w:t>
            </w:r>
            <w:r w:rsidR="0040407E" w:rsidRPr="0040407E">
              <w:rPr>
                <w:rFonts w:ascii="Arial" w:hAnsi="Arial" w:cs="Arial"/>
                <w:b w:val="0"/>
                <w:bCs w:val="0"/>
                <w:webHidden/>
              </w:rPr>
              <w:tab/>
            </w:r>
            <w:r w:rsidR="0040407E" w:rsidRPr="0040407E">
              <w:rPr>
                <w:rFonts w:ascii="Arial" w:hAnsi="Arial" w:cs="Arial"/>
                <w:b w:val="0"/>
                <w:bCs w:val="0"/>
                <w:webHidden/>
              </w:rPr>
              <w:fldChar w:fldCharType="begin"/>
            </w:r>
            <w:r w:rsidR="0040407E" w:rsidRPr="0040407E">
              <w:rPr>
                <w:rFonts w:ascii="Arial" w:hAnsi="Arial" w:cs="Arial"/>
                <w:b w:val="0"/>
                <w:bCs w:val="0"/>
                <w:webHidden/>
              </w:rPr>
              <w:instrText xml:space="preserve"> PAGEREF _Toc139958843 \h </w:instrText>
            </w:r>
            <w:r w:rsidR="0040407E" w:rsidRPr="0040407E">
              <w:rPr>
                <w:rFonts w:ascii="Arial" w:hAnsi="Arial" w:cs="Arial"/>
                <w:b w:val="0"/>
                <w:bCs w:val="0"/>
                <w:webHidden/>
              </w:rPr>
            </w:r>
            <w:r w:rsidR="0040407E" w:rsidRPr="0040407E">
              <w:rPr>
                <w:rFonts w:ascii="Arial" w:hAnsi="Arial" w:cs="Arial"/>
                <w:b w:val="0"/>
                <w:bCs w:val="0"/>
                <w:webHidden/>
              </w:rPr>
              <w:fldChar w:fldCharType="separate"/>
            </w:r>
            <w:r w:rsidR="0040407E" w:rsidRPr="0040407E">
              <w:rPr>
                <w:rFonts w:ascii="Arial" w:hAnsi="Arial" w:cs="Arial"/>
                <w:b w:val="0"/>
                <w:bCs w:val="0"/>
                <w:webHidden/>
              </w:rPr>
              <w:t>7</w:t>
            </w:r>
            <w:r w:rsidR="0040407E" w:rsidRPr="0040407E">
              <w:rPr>
                <w:rFonts w:ascii="Arial" w:hAnsi="Arial" w:cs="Arial"/>
                <w:b w:val="0"/>
                <w:bCs w:val="0"/>
                <w:webHidden/>
              </w:rPr>
              <w:fldChar w:fldCharType="end"/>
            </w:r>
          </w:hyperlink>
        </w:p>
        <w:p w:rsidR="0040407E" w:rsidRPr="0040407E" w:rsidRDefault="00000000">
          <w:pPr>
            <w:pStyle w:val="TOC1"/>
            <w:rPr>
              <w:rFonts w:ascii="Arial" w:eastAsiaTheme="minorEastAsia" w:hAnsi="Arial" w:cs="Arial"/>
              <w:b w:val="0"/>
              <w:bCs w:val="0"/>
              <w:kern w:val="2"/>
              <w:lang w:val="en-CA"/>
              <w14:ligatures w14:val="standardContextual"/>
            </w:rPr>
          </w:pPr>
          <w:hyperlink w:anchor="_Toc139958844" w:history="1">
            <w:r w:rsidR="0040407E" w:rsidRPr="0040407E">
              <w:rPr>
                <w:rStyle w:val="Hyperlink"/>
                <w:rFonts w:ascii="Arial" w:hAnsi="Arial" w:cs="Arial"/>
                <w:b w:val="0"/>
                <w:bCs w:val="0"/>
              </w:rPr>
              <w:t>Appendix A: : List of Executive Members</w:t>
            </w:r>
            <w:r w:rsidR="0040407E" w:rsidRPr="0040407E">
              <w:rPr>
                <w:rFonts w:ascii="Arial" w:hAnsi="Arial" w:cs="Arial"/>
                <w:b w:val="0"/>
                <w:bCs w:val="0"/>
                <w:webHidden/>
              </w:rPr>
              <w:tab/>
            </w:r>
            <w:r w:rsidR="0040407E" w:rsidRPr="0040407E">
              <w:rPr>
                <w:rFonts w:ascii="Arial" w:hAnsi="Arial" w:cs="Arial"/>
                <w:b w:val="0"/>
                <w:bCs w:val="0"/>
                <w:webHidden/>
              </w:rPr>
              <w:fldChar w:fldCharType="begin"/>
            </w:r>
            <w:r w:rsidR="0040407E" w:rsidRPr="0040407E">
              <w:rPr>
                <w:rFonts w:ascii="Arial" w:hAnsi="Arial" w:cs="Arial"/>
                <w:b w:val="0"/>
                <w:bCs w:val="0"/>
                <w:webHidden/>
              </w:rPr>
              <w:instrText xml:space="preserve"> PAGEREF _Toc139958844 \h </w:instrText>
            </w:r>
            <w:r w:rsidR="0040407E" w:rsidRPr="0040407E">
              <w:rPr>
                <w:rFonts w:ascii="Arial" w:hAnsi="Arial" w:cs="Arial"/>
                <w:b w:val="0"/>
                <w:bCs w:val="0"/>
                <w:webHidden/>
              </w:rPr>
            </w:r>
            <w:r w:rsidR="0040407E" w:rsidRPr="0040407E">
              <w:rPr>
                <w:rFonts w:ascii="Arial" w:hAnsi="Arial" w:cs="Arial"/>
                <w:b w:val="0"/>
                <w:bCs w:val="0"/>
                <w:webHidden/>
              </w:rPr>
              <w:fldChar w:fldCharType="separate"/>
            </w:r>
            <w:r w:rsidR="0040407E" w:rsidRPr="0040407E">
              <w:rPr>
                <w:rFonts w:ascii="Arial" w:hAnsi="Arial" w:cs="Arial"/>
                <w:b w:val="0"/>
                <w:bCs w:val="0"/>
                <w:webHidden/>
              </w:rPr>
              <w:t>8</w:t>
            </w:r>
            <w:r w:rsidR="0040407E" w:rsidRPr="0040407E">
              <w:rPr>
                <w:rFonts w:ascii="Arial" w:hAnsi="Arial" w:cs="Arial"/>
                <w:b w:val="0"/>
                <w:bCs w:val="0"/>
                <w:webHidden/>
              </w:rPr>
              <w:fldChar w:fldCharType="end"/>
            </w:r>
          </w:hyperlink>
        </w:p>
        <w:p w:rsidR="00DF021C" w:rsidRPr="004A0518" w:rsidRDefault="00DF021C" w:rsidP="004A0518">
          <w:pPr>
            <w:spacing w:line="276" w:lineRule="auto"/>
            <w:rPr>
              <w:b/>
              <w:bCs/>
              <w:szCs w:val="24"/>
            </w:rPr>
          </w:pPr>
          <w:r w:rsidRPr="00F37864">
            <w:rPr>
              <w:rFonts w:cs="Arial"/>
              <w:noProof/>
              <w:szCs w:val="24"/>
            </w:rPr>
            <w:fldChar w:fldCharType="end"/>
          </w:r>
        </w:p>
      </w:sdtContent>
    </w:sdt>
    <w:p w:rsidR="00DF021C" w:rsidRDefault="00DF021C">
      <w:pPr>
        <w:spacing w:after="0" w:line="240" w:lineRule="auto"/>
        <w:rPr>
          <w:rFonts w:ascii="Lato" w:eastAsia="Times New Roman" w:hAnsi="Lato" w:cstheme="majorBidi"/>
          <w:b/>
          <w:color w:val="006A78"/>
          <w:szCs w:val="26"/>
        </w:rPr>
      </w:pPr>
      <w:r>
        <w:rPr>
          <w:rFonts w:eastAsia="Times New Roman"/>
        </w:rPr>
        <w:br w:type="page"/>
      </w:r>
    </w:p>
    <w:p w:rsidR="00F37864" w:rsidRDefault="00F37864" w:rsidP="00F37864">
      <w:pPr>
        <w:pStyle w:val="Heading1"/>
      </w:pPr>
      <w:bookmarkStart w:id="0" w:name="_Toc139958832"/>
      <w:r>
        <w:lastRenderedPageBreak/>
        <w:t>Background</w:t>
      </w:r>
      <w:bookmarkEnd w:id="0"/>
    </w:p>
    <w:p w:rsidR="00F37864" w:rsidRDefault="00F37864" w:rsidP="00F37864">
      <w:r>
        <w:t>Health Data Research Network Canada (HDRN Canada) is a pan-Canadian initiative to connect researchers, policymakers and decision-makers from across the country to use data and expertise effectively in multi-jurisdictional studies and initiatives, and to support international collaborations.</w:t>
      </w:r>
    </w:p>
    <w:p w:rsidR="00F37864" w:rsidRDefault="00F37864" w:rsidP="00F37864">
      <w:r>
        <w:t>HDRN Canada Organizations are working together to advance priorities identified in our Strategic Plan. The mission of HDRN Canada is to bring together people and organizations across Canada for transformative and world-leading health data use.</w:t>
      </w:r>
    </w:p>
    <w:p w:rsidR="00F37864" w:rsidRDefault="00F37864" w:rsidP="00F37864">
      <w:pPr>
        <w:pStyle w:val="Heading1"/>
      </w:pPr>
      <w:bookmarkStart w:id="1" w:name="1fob9te" w:colFirst="0" w:colLast="0"/>
      <w:bookmarkStart w:id="2" w:name="_Toc139958833"/>
      <w:bookmarkEnd w:id="1"/>
      <w:r w:rsidRPr="00F37864">
        <w:t>Purpose</w:t>
      </w:r>
      <w:bookmarkEnd w:id="2"/>
    </w:p>
    <w:p w:rsidR="00F37864" w:rsidRDefault="00F37864" w:rsidP="00F37864">
      <w:r>
        <w:t xml:space="preserve">The HDRN Canada Executive Committee (the “Executive”) has been established to provide scientific, decision making and priority setting oversight and responsibility for HDRN Canada, including for the initiatives developed through the CIHR grant. The Executive provides leadership and ensures excellence across HDRN Canada, focusing on priorities affirmed by the HDRN Canada Board of Directors. </w:t>
      </w:r>
    </w:p>
    <w:p w:rsidR="00F37864" w:rsidRDefault="00F37864" w:rsidP="00F37864">
      <w:pPr>
        <w:pStyle w:val="Heading1"/>
      </w:pPr>
      <w:bookmarkStart w:id="3" w:name="3znysh7" w:colFirst="0" w:colLast="0"/>
      <w:bookmarkStart w:id="4" w:name="_Toc139958834"/>
      <w:bookmarkEnd w:id="3"/>
      <w:r w:rsidRPr="00F37864">
        <w:t>Role</w:t>
      </w:r>
      <w:bookmarkEnd w:id="4"/>
    </w:p>
    <w:p w:rsidR="00F37864" w:rsidRDefault="00F37864" w:rsidP="00F37864">
      <w:r>
        <w:t>The Executive’s role is to provide general and active management of HDRN Canada, including through:</w:t>
      </w:r>
    </w:p>
    <w:p w:rsidR="00F37864" w:rsidRPr="00F37864" w:rsidRDefault="00F37864" w:rsidP="00F37864">
      <w:pPr>
        <w:pStyle w:val="ListParagraph"/>
        <w:numPr>
          <w:ilvl w:val="0"/>
          <w:numId w:val="42"/>
        </w:numPr>
        <w:rPr>
          <w:color w:val="000000"/>
        </w:rPr>
      </w:pPr>
      <w:r w:rsidRPr="00F37864">
        <w:rPr>
          <w:rFonts w:eastAsia="Arial" w:cs="Arial"/>
          <w:color w:val="000000"/>
          <w:szCs w:val="24"/>
        </w:rPr>
        <w:t>Developing and implementing the scientific strategy of HDRN Canada under appropriate guidance from the Board; monitoring the network’s scientific performance and integrity</w:t>
      </w:r>
    </w:p>
    <w:p w:rsidR="00F37864" w:rsidRPr="00F37864" w:rsidRDefault="00F37864" w:rsidP="00F37864">
      <w:pPr>
        <w:pStyle w:val="ListParagraph"/>
        <w:numPr>
          <w:ilvl w:val="0"/>
          <w:numId w:val="42"/>
        </w:numPr>
        <w:rPr>
          <w:color w:val="000000"/>
        </w:rPr>
      </w:pPr>
      <w:r w:rsidRPr="00F37864">
        <w:rPr>
          <w:rFonts w:eastAsia="Arial" w:cs="Arial"/>
          <w:color w:val="000000"/>
          <w:szCs w:val="24"/>
        </w:rPr>
        <w:t>Ensuring operational coordination of activities and issues across HDRN Canada Organizations, and overseeing development priorities and planning</w:t>
      </w:r>
    </w:p>
    <w:p w:rsidR="00F37864" w:rsidRPr="00F37864" w:rsidRDefault="00F37864" w:rsidP="00F37864">
      <w:pPr>
        <w:pStyle w:val="ListParagraph"/>
        <w:numPr>
          <w:ilvl w:val="0"/>
          <w:numId w:val="42"/>
        </w:numPr>
        <w:rPr>
          <w:color w:val="000000"/>
        </w:rPr>
      </w:pPr>
      <w:r w:rsidRPr="00F37864">
        <w:rPr>
          <w:rFonts w:eastAsia="Arial" w:cs="Arial"/>
          <w:color w:val="000000"/>
          <w:szCs w:val="24"/>
        </w:rPr>
        <w:t>Having responsibility for FTEs funded through the grant</w:t>
      </w:r>
    </w:p>
    <w:p w:rsidR="00F37864" w:rsidRPr="00F37864" w:rsidRDefault="00F37864" w:rsidP="00F37864">
      <w:pPr>
        <w:pStyle w:val="ListParagraph"/>
        <w:numPr>
          <w:ilvl w:val="0"/>
          <w:numId w:val="42"/>
        </w:numPr>
        <w:rPr>
          <w:color w:val="000000"/>
        </w:rPr>
      </w:pPr>
      <w:r w:rsidRPr="00F37864">
        <w:rPr>
          <w:rFonts w:eastAsia="Arial" w:cs="Arial"/>
          <w:color w:val="000000"/>
          <w:szCs w:val="24"/>
        </w:rPr>
        <w:t>Ensuring alignment of the above with the vision, mission and objectives of HDRN Canada</w:t>
      </w:r>
    </w:p>
    <w:p w:rsidR="00F37864" w:rsidRPr="00F37864" w:rsidRDefault="00F37864" w:rsidP="00F37864">
      <w:pPr>
        <w:pStyle w:val="ListParagraph"/>
        <w:numPr>
          <w:ilvl w:val="0"/>
          <w:numId w:val="42"/>
        </w:numPr>
        <w:rPr>
          <w:color w:val="000000"/>
        </w:rPr>
      </w:pPr>
      <w:r w:rsidRPr="00F37864">
        <w:rPr>
          <w:rFonts w:eastAsia="Arial" w:cs="Arial"/>
          <w:color w:val="000000"/>
          <w:szCs w:val="24"/>
        </w:rPr>
        <w:t>Advising on the development of risk management documents and other policies and procedures including those requested by the Board of Directors</w:t>
      </w:r>
    </w:p>
    <w:p w:rsidR="00F37864" w:rsidRPr="00F37864" w:rsidRDefault="00F37864" w:rsidP="00F37864">
      <w:pPr>
        <w:pStyle w:val="ListParagraph"/>
        <w:numPr>
          <w:ilvl w:val="0"/>
          <w:numId w:val="42"/>
        </w:numPr>
        <w:rPr>
          <w:color w:val="000000"/>
        </w:rPr>
      </w:pPr>
      <w:r w:rsidRPr="00F37864">
        <w:rPr>
          <w:rFonts w:eastAsia="Arial" w:cs="Arial"/>
          <w:color w:val="000000"/>
          <w:szCs w:val="24"/>
        </w:rPr>
        <w:lastRenderedPageBreak/>
        <w:t>Serving as the decision-making and approval body for items brought forward by Working Groups, Teams, and Committees and other strategic initiatives</w:t>
      </w:r>
    </w:p>
    <w:p w:rsidR="00F37864" w:rsidRDefault="00F37864" w:rsidP="00F37864">
      <w:pPr>
        <w:pStyle w:val="Heading1"/>
      </w:pPr>
      <w:bookmarkStart w:id="5" w:name="2et92p0" w:colFirst="0" w:colLast="0"/>
      <w:bookmarkStart w:id="6" w:name="_Toc139958835"/>
      <w:bookmarkEnd w:id="5"/>
      <w:r w:rsidRPr="00F37864">
        <w:t>Membership</w:t>
      </w:r>
      <w:bookmarkEnd w:id="6"/>
    </w:p>
    <w:p w:rsidR="00F37864" w:rsidRDefault="00F37864" w:rsidP="00F37864">
      <w:r>
        <w:t>Membership consists of a subset of the HDRN Canada’s Leads Team, with representation from Principal Applicants to the CIHR grant to develop the SPOR CDP, principal applicants on other large funded initiatives, and additional members who are leading priority streams of work. If an Executive Committee member’s role on the Leads Team ends, membership on the Executive will also end.</w:t>
      </w:r>
    </w:p>
    <w:p w:rsidR="00F37864" w:rsidRDefault="00F37864" w:rsidP="00F37864">
      <w:r>
        <w:t>New members of the Executive will be identified by nomination, which may occur either through self-nomination or nomination by another Leads Team member. The written nomination will consist of the name of the individual, their HDRN Canada member organization, and a rationale for membership. Nominations will be submitted to the Chair, who will make recommendations for approval by the rest of the Executive Committee.</w:t>
      </w:r>
    </w:p>
    <w:p w:rsidR="00F37864" w:rsidRDefault="00F37864" w:rsidP="00F37864">
      <w:r>
        <w:t>If more applicants apply than there is space for new Executive members, both geographic and IDEA-based representation will be considered.</w:t>
      </w:r>
    </w:p>
    <w:p w:rsidR="00F37864" w:rsidRDefault="00F37864" w:rsidP="00F37864">
      <w:r>
        <w:t>The Executive will be made up of no fewer than 8 and no more than 10 members. Members are listed in Appendix A.</w:t>
      </w:r>
    </w:p>
    <w:p w:rsidR="00F37864" w:rsidRDefault="00F37864" w:rsidP="00F37864">
      <w:r>
        <w:t>The Chair of the Executive is the Scientific Director and CEO for HDRN Canada. The Director of Operations and other designated HDRN Canada staff participate as observers.</w:t>
      </w:r>
    </w:p>
    <w:p w:rsidR="00F37864" w:rsidRDefault="00F37864" w:rsidP="00F37864">
      <w:r>
        <w:t>Where appropriate, and decided in conjunction with the Chair, select members of Working Groups and other invited guests may attend Executive meetings, for all or part of the agenda, as observers.</w:t>
      </w:r>
    </w:p>
    <w:p w:rsidR="00F37864" w:rsidRDefault="00F37864" w:rsidP="00F37864">
      <w:r>
        <w:t>Executive Committee members serve for a twelve-month term which is renewable.</w:t>
      </w:r>
    </w:p>
    <w:p w:rsidR="0040407E" w:rsidRDefault="0040407E">
      <w:pPr>
        <w:spacing w:after="0" w:line="240" w:lineRule="auto"/>
        <w:rPr>
          <w:rFonts w:ascii="Lato" w:eastAsia="Arial" w:hAnsi="Lato" w:cs="Arial"/>
          <w:b/>
          <w:color w:val="006A78"/>
          <w:sz w:val="28"/>
          <w:szCs w:val="40"/>
          <w:lang w:val="en"/>
        </w:rPr>
      </w:pPr>
      <w:bookmarkStart w:id="7" w:name="tyjcwt" w:colFirst="0" w:colLast="0"/>
      <w:bookmarkStart w:id="8" w:name="_Toc139958836"/>
      <w:bookmarkEnd w:id="7"/>
      <w:r>
        <w:br w:type="page"/>
      </w:r>
    </w:p>
    <w:p w:rsidR="00F37864" w:rsidRDefault="00F37864" w:rsidP="00F37864">
      <w:pPr>
        <w:pStyle w:val="Heading1"/>
      </w:pPr>
      <w:r w:rsidRPr="00F37864">
        <w:lastRenderedPageBreak/>
        <w:t>Accountability</w:t>
      </w:r>
      <w:bookmarkEnd w:id="8"/>
    </w:p>
    <w:p w:rsidR="00F37864" w:rsidRDefault="00F37864" w:rsidP="00F37864">
      <w:r>
        <w:t>The Executive is accountable to the Scientific Director and CEO. The Executive oversees the HDRN Canada Leads Team; the Chair of the SPOR CDP Advisory Committee is a member of the HDRN Canada Executive. The Executive also supports, guides, and responds to the Public Advisory Council.</w:t>
      </w:r>
    </w:p>
    <w:p w:rsidR="00F37864" w:rsidRDefault="00F37864" w:rsidP="00F37864">
      <w:pPr>
        <w:pStyle w:val="Heading1"/>
      </w:pPr>
      <w:bookmarkStart w:id="9" w:name="3dy6vkm" w:colFirst="0" w:colLast="0"/>
      <w:bookmarkStart w:id="10" w:name="_Toc139958837"/>
      <w:bookmarkEnd w:id="9"/>
      <w:r w:rsidRPr="00F37864">
        <w:t>Quorum</w:t>
      </w:r>
      <w:bookmarkEnd w:id="10"/>
    </w:p>
    <w:p w:rsidR="00F37864" w:rsidRDefault="00F37864" w:rsidP="0040407E">
      <w:r w:rsidRPr="0040407E">
        <w:t>Quorum is set at half membership plus one</w:t>
      </w:r>
      <w:r>
        <w:rPr>
          <w:rFonts w:ascii="Calibri" w:eastAsia="Calibri" w:hAnsi="Calibri" w:cs="Calibri"/>
          <w:sz w:val="22"/>
        </w:rPr>
        <w:t xml:space="preserve">. </w:t>
      </w:r>
      <w:r>
        <w:t>In the absence of quorum, it is at the Chair’s discretion if the meeting should continue, with items for discussion, review and decision circulated to members who were unable to attend.</w:t>
      </w:r>
    </w:p>
    <w:p w:rsidR="00F37864" w:rsidRDefault="00F37864" w:rsidP="00F37864">
      <w:pPr>
        <w:pStyle w:val="Heading1"/>
      </w:pPr>
      <w:bookmarkStart w:id="11" w:name="1t3h5sf" w:colFirst="0" w:colLast="0"/>
      <w:bookmarkStart w:id="12" w:name="_Toc139958838"/>
      <w:bookmarkEnd w:id="11"/>
      <w:r>
        <w:t>Decision Making</w:t>
      </w:r>
      <w:bookmarkEnd w:id="12"/>
    </w:p>
    <w:p w:rsidR="0040407E" w:rsidRDefault="00F37864" w:rsidP="0040407E">
      <w:r>
        <w:t>The Executive will make decisions by consensus, noting that in some cases members may abstain from a decision and that abstention does not constitute dissent. If consensus cannot be achieved, decisions will be made by majority vote. At the discretion of the Chair, decisions may be made based on the members contributing to quorum at a meeting. Members who are not able to attend a meeting may contribute to consensus or cast a vote in support of or against a decision prior to the meeting; after a vote and at the Chair’s discretion, members unable to attend a meeting may be able to provide input on topics discuss</w:t>
      </w:r>
      <w:r w:rsidR="0040407E">
        <w:t xml:space="preserve">. </w:t>
      </w:r>
    </w:p>
    <w:p w:rsidR="00F37864" w:rsidRDefault="0040407E" w:rsidP="00F37864">
      <w:pPr>
        <w:sectPr w:rsidR="00F37864" w:rsidSect="00324B1E">
          <w:headerReference w:type="default" r:id="rId9"/>
          <w:pgSz w:w="12240" w:h="15840"/>
          <w:pgMar w:top="1660" w:right="1340" w:bottom="1340" w:left="1320" w:header="720" w:footer="1160" w:gutter="0"/>
          <w:cols w:space="720"/>
          <w:titlePg/>
          <w:docGrid w:linePitch="326"/>
        </w:sectPr>
      </w:pPr>
      <w:r>
        <w:t>In cases where neither consensus nor a majority vote can be achieved, a written summary of the views presented will be provided to the Scientific Director and CEO and if appropriate, Board of Directors, for consideration.</w:t>
      </w:r>
    </w:p>
    <w:p w:rsidR="00F37864" w:rsidRDefault="00F37864" w:rsidP="00324B1E">
      <w:pPr>
        <w:pStyle w:val="Heading1"/>
        <w:spacing w:before="0"/>
      </w:pPr>
      <w:bookmarkStart w:id="13" w:name="4d34og8" w:colFirst="0" w:colLast="0"/>
      <w:bookmarkStart w:id="14" w:name="_Toc139958839"/>
      <w:bookmarkEnd w:id="13"/>
      <w:r w:rsidRPr="00F37864">
        <w:lastRenderedPageBreak/>
        <w:t>Member</w:t>
      </w:r>
      <w:r>
        <w:t xml:space="preserve"> Responsibilities</w:t>
      </w:r>
      <w:bookmarkEnd w:id="14"/>
    </w:p>
    <w:p w:rsidR="00F37864" w:rsidRDefault="00F37864" w:rsidP="00F37864">
      <w:pPr>
        <w:pStyle w:val="ListParagraph"/>
        <w:numPr>
          <w:ilvl w:val="0"/>
          <w:numId w:val="43"/>
        </w:numPr>
      </w:pPr>
      <w:r>
        <w:t>Foster and contribute to open, collaborative and respectful discussions</w:t>
      </w:r>
    </w:p>
    <w:p w:rsidR="00F37864" w:rsidRDefault="00F37864" w:rsidP="00F37864">
      <w:pPr>
        <w:pStyle w:val="ListParagraph"/>
        <w:numPr>
          <w:ilvl w:val="0"/>
          <w:numId w:val="43"/>
        </w:numPr>
      </w:pPr>
      <w:r>
        <w:t>Read and review all meeting materials and actively participate in all meetings, drawing on knowledge, expertise and experience to provide constructive advice to HDRN Canada. Members who are unable to attend a meeting will be provided with action items and any documented decisions and will be encouraged to provide written feedback and/or vote (see: Decision Making above).</w:t>
      </w:r>
    </w:p>
    <w:p w:rsidR="00F37864" w:rsidRDefault="00F37864" w:rsidP="00F37864">
      <w:pPr>
        <w:pStyle w:val="ListParagraph"/>
        <w:numPr>
          <w:ilvl w:val="0"/>
          <w:numId w:val="43"/>
        </w:numPr>
      </w:pPr>
      <w:r>
        <w:t>Members of the Executive may be asked to be involved in subgroups as appropriate, and communication between meetings is expected</w:t>
      </w:r>
    </w:p>
    <w:p w:rsidR="00F37864" w:rsidRDefault="00F37864" w:rsidP="00F37864">
      <w:pPr>
        <w:pStyle w:val="ListParagraph"/>
        <w:numPr>
          <w:ilvl w:val="0"/>
          <w:numId w:val="43"/>
        </w:numPr>
      </w:pPr>
      <w:r>
        <w:t>If a member cannot attend a meeting, they will notify the Chair and/or Secretariat</w:t>
      </w:r>
    </w:p>
    <w:p w:rsidR="00F37864" w:rsidRDefault="00F37864" w:rsidP="00F37864">
      <w:pPr>
        <w:pStyle w:val="ListParagraph"/>
        <w:numPr>
          <w:ilvl w:val="0"/>
          <w:numId w:val="43"/>
        </w:numPr>
      </w:pPr>
      <w:r>
        <w:t>If a member needs to withdraw from the Executive, the member will notify the Chair in writing</w:t>
      </w:r>
    </w:p>
    <w:p w:rsidR="00F37864" w:rsidRDefault="00F37864" w:rsidP="00F37864">
      <w:pPr>
        <w:pStyle w:val="Heading1"/>
      </w:pPr>
      <w:bookmarkStart w:id="15" w:name="2s8eyo1" w:colFirst="0" w:colLast="0"/>
      <w:bookmarkStart w:id="16" w:name="_Toc139958840"/>
      <w:bookmarkEnd w:id="15"/>
      <w:r>
        <w:t xml:space="preserve">Meeting </w:t>
      </w:r>
      <w:r w:rsidRPr="00F37864">
        <w:t>Frequency</w:t>
      </w:r>
      <w:r>
        <w:t xml:space="preserve"> and Agenda</w:t>
      </w:r>
      <w:bookmarkEnd w:id="16"/>
    </w:p>
    <w:p w:rsidR="00F37864" w:rsidRDefault="00F37864" w:rsidP="0040407E">
      <w:r>
        <w:t>The Executive will generally meet every two weeks by teleconference or web meeting. Meetings will be planned by the Scientific Director and CEO in consultation with the Operations Director. Agenda and materials will be distributed to members at least two days in advance of the meeting, with requests for additions to the agenda provided to the Operations Director one week before the next meeting.</w:t>
      </w:r>
    </w:p>
    <w:p w:rsidR="00F37864" w:rsidRDefault="00F37864" w:rsidP="0040407E">
      <w:r>
        <w:t>Ad hoc meetings of individual Executive members may occur on specific issues or projects to complement existing meetings. The Executive will strive to meet in-person on an annual basis, extenuating circumstances notwithstanding.</w:t>
      </w:r>
    </w:p>
    <w:p w:rsidR="00F37864" w:rsidRDefault="00F37864" w:rsidP="00F37864">
      <w:pPr>
        <w:pStyle w:val="Heading1"/>
      </w:pPr>
      <w:bookmarkStart w:id="17" w:name="17dp8vu" w:colFirst="0" w:colLast="0"/>
      <w:bookmarkStart w:id="18" w:name="_Toc139958841"/>
      <w:bookmarkEnd w:id="17"/>
      <w:r>
        <w:t>Conflict of Interest</w:t>
      </w:r>
      <w:bookmarkEnd w:id="18"/>
    </w:p>
    <w:p w:rsidR="00F37864" w:rsidRDefault="00F37864" w:rsidP="00F37864">
      <w:r>
        <w:t>Annually, Executive and Leads Team members must disclose to the Chair, in writing, any situation in which their personal interests or the interests of their host organization(s) are not compatible or aligned with the interests of HDRN Canada.</w:t>
      </w:r>
    </w:p>
    <w:p w:rsidR="0040407E" w:rsidRDefault="00F37864" w:rsidP="00F37864">
      <w:r>
        <w:t>Conflicts of interest will also be a standing agenda item at all Executive meetings. Every declaration of a conflict of interest arising at a meeting of the Executive will be recorded in the minutes of the meeting, along with the nature of the conflict.</w:t>
      </w:r>
      <w:r w:rsidR="0040407E" w:rsidRPr="0040407E">
        <w:t xml:space="preserve"> </w:t>
      </w:r>
    </w:p>
    <w:p w:rsidR="00F37864" w:rsidRDefault="0040407E" w:rsidP="00F37864">
      <w:r w:rsidRPr="0040407E">
        <w:t>It is understood that the host organization(s) of Executive members will have a direct interest in, and expect to benefit from, HDRN Canada operations; therefore, it is not necessary for Executive members to declare any real or perceived benefit that their host organization(s) may realize from advice provided unless the real or perceived benefit to their host organization(s) results in a risk or harm for HDRN Canada. Please refer to HDRN Canada’s Conflict of Interest Policy for further details.</w:t>
      </w:r>
    </w:p>
    <w:p w:rsidR="0040407E" w:rsidRDefault="0040407E" w:rsidP="0040407E">
      <w:pPr>
        <w:pStyle w:val="Heading1"/>
        <w:spacing w:before="0"/>
      </w:pPr>
      <w:bookmarkStart w:id="19" w:name="_Toc139958842"/>
      <w:r>
        <w:t>Confidentiality</w:t>
      </w:r>
      <w:bookmarkEnd w:id="19"/>
    </w:p>
    <w:p w:rsidR="0040407E" w:rsidRDefault="0040407E" w:rsidP="0040407E">
      <w:r>
        <w:t>Except in cases where materials are clearly marked or identified as being for public distribution, Executive members should treat materials they receive for Executive meetings as confidential, and request permission from the Scientific Director and CEO before sharing materials.</w:t>
      </w:r>
    </w:p>
    <w:p w:rsidR="0040407E" w:rsidRDefault="0040407E" w:rsidP="0040407E">
      <w:pPr>
        <w:pStyle w:val="Heading1"/>
        <w:spacing w:before="161"/>
      </w:pPr>
      <w:bookmarkStart w:id="20" w:name="26in1rg" w:colFirst="0" w:colLast="0"/>
      <w:bookmarkStart w:id="21" w:name="_Toc139958843"/>
      <w:bookmarkEnd w:id="20"/>
      <w:r>
        <w:t>Administration and Review Frequency</w:t>
      </w:r>
      <w:bookmarkEnd w:id="21"/>
    </w:p>
    <w:p w:rsidR="0040407E" w:rsidRDefault="0040407E" w:rsidP="0040407E">
      <w:r>
        <w:t>Secretariat support for the Executive will be provided by HDRN Canada staff. Detailed minutes will not be recorded. Attendance, action items and decisions will be recorded in writing (votes will not be attributed to names) and shared with all members for review.</w:t>
      </w:r>
    </w:p>
    <w:p w:rsidR="0040407E" w:rsidRDefault="0040407E" w:rsidP="0040407E">
      <w:r>
        <w:t>The Chair and members shall serve without remuneration.</w:t>
      </w:r>
    </w:p>
    <w:p w:rsidR="00F37864" w:rsidRDefault="0040407E" w:rsidP="0040407E">
      <w:pPr>
        <w:sectPr w:rsidR="00F37864">
          <w:pgSz w:w="12240" w:h="15840"/>
          <w:pgMar w:top="1660" w:right="1340" w:bottom="1340" w:left="1320" w:header="720" w:footer="1160" w:gutter="0"/>
          <w:cols w:space="720"/>
        </w:sectPr>
      </w:pPr>
      <w:r>
        <w:t>Membership of the Executive and this Terms of Reference will be reviewed on an annual basis. The review will be based on the skills matrix and other considerations noted in the membership section above.</w:t>
      </w:r>
    </w:p>
    <w:p w:rsidR="0040407E" w:rsidRPr="00C16153" w:rsidRDefault="0040407E" w:rsidP="00324B1E">
      <w:pPr>
        <w:pStyle w:val="Heading1"/>
        <w:spacing w:before="0"/>
      </w:pPr>
      <w:bookmarkStart w:id="22" w:name="3rdcrjn" w:colFirst="0" w:colLast="0"/>
      <w:bookmarkStart w:id="23" w:name="_Toc139958844"/>
      <w:bookmarkEnd w:id="22"/>
      <w:r w:rsidRPr="00BE4EE3">
        <w:t xml:space="preserve">Appendix </w:t>
      </w:r>
      <w:r>
        <w:t>A</w:t>
      </w:r>
      <w:r w:rsidRPr="00BE4EE3">
        <w:t xml:space="preserve">: </w:t>
      </w:r>
      <w:r>
        <w:t>: List of Executive Members</w:t>
      </w:r>
      <w:bookmarkEnd w:id="23"/>
    </w:p>
    <w:tbl>
      <w:tblPr>
        <w:tblStyle w:val="TableGrid"/>
        <w:tblW w:w="10490" w:type="dxa"/>
        <w:tblInd w:w="-5" w:type="dxa"/>
        <w:tblLayout w:type="fixed"/>
        <w:tblLook w:val="0000" w:firstRow="0" w:lastRow="0" w:firstColumn="0" w:lastColumn="0" w:noHBand="0" w:noVBand="0"/>
      </w:tblPr>
      <w:tblGrid>
        <w:gridCol w:w="1838"/>
        <w:gridCol w:w="1564"/>
        <w:gridCol w:w="1985"/>
        <w:gridCol w:w="1843"/>
        <w:gridCol w:w="3260"/>
      </w:tblGrid>
      <w:tr w:rsidR="0040407E" w:rsidTr="0040407E">
        <w:trPr>
          <w:trHeight w:val="667"/>
        </w:trPr>
        <w:tc>
          <w:tcPr>
            <w:tcW w:w="1838" w:type="dxa"/>
            <w:shd w:val="clear" w:color="auto" w:fill="006A78"/>
          </w:tcPr>
          <w:p w:rsidR="0040407E" w:rsidRPr="00F37864" w:rsidRDefault="0040407E" w:rsidP="00693A3D">
            <w:pPr>
              <w:pBdr>
                <w:top w:val="nil"/>
                <w:left w:val="nil"/>
                <w:bottom w:val="nil"/>
                <w:right w:val="nil"/>
                <w:between w:val="nil"/>
              </w:pBdr>
              <w:ind w:left="107" w:right="399"/>
              <w:rPr>
                <w:rFonts w:eastAsia="Arial" w:cs="Arial"/>
                <w:b/>
                <w:color w:val="FFFFFF" w:themeColor="background1"/>
              </w:rPr>
            </w:pPr>
            <w:r w:rsidRPr="00F37864">
              <w:rPr>
                <w:rFonts w:eastAsia="Arial" w:cs="Arial"/>
                <w:b/>
                <w:color w:val="FFFFFF" w:themeColor="background1"/>
              </w:rPr>
              <w:t>Name</w:t>
            </w:r>
          </w:p>
        </w:tc>
        <w:tc>
          <w:tcPr>
            <w:tcW w:w="1564" w:type="dxa"/>
            <w:shd w:val="clear" w:color="auto" w:fill="006A78"/>
          </w:tcPr>
          <w:p w:rsidR="0040407E" w:rsidRPr="00F37864" w:rsidRDefault="0040407E" w:rsidP="00693A3D">
            <w:pPr>
              <w:pBdr>
                <w:top w:val="nil"/>
                <w:left w:val="nil"/>
                <w:bottom w:val="nil"/>
                <w:right w:val="nil"/>
                <w:between w:val="nil"/>
              </w:pBdr>
              <w:spacing w:line="248" w:lineRule="auto"/>
              <w:ind w:left="108"/>
              <w:rPr>
                <w:rFonts w:eastAsia="Arial" w:cs="Arial"/>
                <w:b/>
                <w:color w:val="FFFFFF" w:themeColor="background1"/>
              </w:rPr>
            </w:pPr>
            <w:r w:rsidRPr="00F37864">
              <w:rPr>
                <w:rFonts w:eastAsia="Arial" w:cs="Arial"/>
                <w:b/>
                <w:color w:val="FFFFFF" w:themeColor="background1"/>
              </w:rPr>
              <w:t>Jurisdiction</w:t>
            </w:r>
          </w:p>
        </w:tc>
        <w:tc>
          <w:tcPr>
            <w:tcW w:w="1985" w:type="dxa"/>
            <w:shd w:val="clear" w:color="auto" w:fill="006A78"/>
          </w:tcPr>
          <w:p w:rsidR="0040407E" w:rsidRPr="00F37864" w:rsidRDefault="0040407E" w:rsidP="00693A3D">
            <w:pPr>
              <w:pBdr>
                <w:top w:val="nil"/>
                <w:left w:val="nil"/>
                <w:bottom w:val="nil"/>
                <w:right w:val="nil"/>
                <w:between w:val="nil"/>
              </w:pBdr>
              <w:ind w:left="108" w:right="109"/>
              <w:rPr>
                <w:rFonts w:eastAsia="Arial" w:cs="Arial"/>
                <w:b/>
                <w:color w:val="FFFFFF" w:themeColor="background1"/>
              </w:rPr>
            </w:pPr>
            <w:r w:rsidRPr="00F37864">
              <w:rPr>
                <w:rFonts w:eastAsia="Arial" w:cs="Arial"/>
                <w:b/>
                <w:color w:val="FFFFFF" w:themeColor="background1"/>
              </w:rPr>
              <w:t>Organizarion</w:t>
            </w:r>
          </w:p>
        </w:tc>
        <w:tc>
          <w:tcPr>
            <w:tcW w:w="1843" w:type="dxa"/>
            <w:shd w:val="clear" w:color="auto" w:fill="006A78"/>
          </w:tcPr>
          <w:p w:rsidR="0040407E" w:rsidRPr="00F37864" w:rsidRDefault="0040407E" w:rsidP="00693A3D">
            <w:pPr>
              <w:pBdr>
                <w:top w:val="nil"/>
                <w:left w:val="nil"/>
                <w:bottom w:val="nil"/>
                <w:right w:val="nil"/>
                <w:between w:val="nil"/>
              </w:pBdr>
              <w:ind w:left="109"/>
              <w:rPr>
                <w:rFonts w:eastAsia="Arial" w:cs="Arial"/>
                <w:b/>
                <w:color w:val="FFFFFF" w:themeColor="background1"/>
              </w:rPr>
            </w:pPr>
            <w:r w:rsidRPr="00F37864">
              <w:rPr>
                <w:rFonts w:eastAsia="Arial" w:cs="Arial"/>
                <w:b/>
                <w:color w:val="FFFFFF" w:themeColor="background1"/>
              </w:rPr>
              <w:t>Rationale</w:t>
            </w:r>
          </w:p>
        </w:tc>
        <w:tc>
          <w:tcPr>
            <w:tcW w:w="3260" w:type="dxa"/>
            <w:shd w:val="clear" w:color="auto" w:fill="006A78"/>
          </w:tcPr>
          <w:p w:rsidR="0040407E" w:rsidRPr="00F37864" w:rsidRDefault="0040407E" w:rsidP="00693A3D">
            <w:pPr>
              <w:pBdr>
                <w:top w:val="nil"/>
                <w:left w:val="nil"/>
                <w:bottom w:val="nil"/>
                <w:right w:val="nil"/>
                <w:between w:val="nil"/>
              </w:pBdr>
              <w:spacing w:line="248" w:lineRule="auto"/>
              <w:ind w:left="111"/>
              <w:rPr>
                <w:b/>
                <w:color w:val="FFFFFF" w:themeColor="background1"/>
              </w:rPr>
            </w:pPr>
            <w:r w:rsidRPr="00F37864">
              <w:rPr>
                <w:b/>
                <w:color w:val="FFFFFF" w:themeColor="background1"/>
              </w:rPr>
              <w:t>Contact</w:t>
            </w:r>
          </w:p>
        </w:tc>
      </w:tr>
      <w:tr w:rsidR="0040407E" w:rsidTr="0040407E">
        <w:trPr>
          <w:trHeight w:val="1262"/>
        </w:trPr>
        <w:tc>
          <w:tcPr>
            <w:tcW w:w="1838" w:type="dxa"/>
          </w:tcPr>
          <w:p w:rsidR="0040407E" w:rsidRPr="0040407E" w:rsidRDefault="0040407E" w:rsidP="0040407E">
            <w:pPr>
              <w:pStyle w:val="NoSpacing"/>
              <w:rPr>
                <w:b/>
                <w:bCs/>
                <w:color w:val="000000"/>
              </w:rPr>
            </w:pPr>
            <w:r w:rsidRPr="0040407E">
              <w:rPr>
                <w:b/>
                <w:bCs/>
              </w:rPr>
              <w:t>Brent Diverty</w:t>
            </w:r>
          </w:p>
        </w:tc>
        <w:tc>
          <w:tcPr>
            <w:tcW w:w="1564" w:type="dxa"/>
          </w:tcPr>
          <w:p w:rsidR="0040407E" w:rsidRPr="00F37864" w:rsidRDefault="0040407E" w:rsidP="0040407E">
            <w:pPr>
              <w:pStyle w:val="NoSpacing"/>
              <w:rPr>
                <w:color w:val="000000"/>
              </w:rPr>
            </w:pPr>
            <w:r w:rsidRPr="00F37864">
              <w:t>Federal</w:t>
            </w:r>
          </w:p>
        </w:tc>
        <w:tc>
          <w:tcPr>
            <w:tcW w:w="1985" w:type="dxa"/>
          </w:tcPr>
          <w:p w:rsidR="0040407E" w:rsidRPr="00F37864" w:rsidRDefault="0040407E" w:rsidP="0040407E">
            <w:pPr>
              <w:pStyle w:val="NoSpacing"/>
              <w:rPr>
                <w:color w:val="000000"/>
              </w:rPr>
            </w:pPr>
            <w:r w:rsidRPr="00F37864">
              <w:t>Canadian Institute for Health</w:t>
            </w:r>
          </w:p>
          <w:p w:rsidR="0040407E" w:rsidRPr="00F37864" w:rsidRDefault="0040407E" w:rsidP="0040407E">
            <w:pPr>
              <w:pStyle w:val="NoSpacing"/>
              <w:rPr>
                <w:color w:val="000000"/>
              </w:rPr>
            </w:pPr>
            <w:r w:rsidRPr="00F37864">
              <w:t>Information (CIHI)</w:t>
            </w:r>
          </w:p>
        </w:tc>
        <w:tc>
          <w:tcPr>
            <w:tcW w:w="1843" w:type="dxa"/>
          </w:tcPr>
          <w:p w:rsidR="0040407E" w:rsidRPr="00F37864" w:rsidRDefault="0040407E" w:rsidP="0040407E">
            <w:pPr>
              <w:pStyle w:val="NoSpacing"/>
              <w:rPr>
                <w:color w:val="000000"/>
              </w:rPr>
            </w:pPr>
            <w:r w:rsidRPr="00F37864">
              <w:rPr>
                <w:color w:val="000000"/>
              </w:rPr>
              <w:t>Senior responsibility for DASH</w:t>
            </w:r>
          </w:p>
        </w:tc>
        <w:tc>
          <w:tcPr>
            <w:tcW w:w="3260" w:type="dxa"/>
          </w:tcPr>
          <w:p w:rsidR="0040407E" w:rsidRPr="00F37864" w:rsidRDefault="00000000" w:rsidP="0040407E">
            <w:pPr>
              <w:pStyle w:val="NoSpacing"/>
              <w:rPr>
                <w:color w:val="000000"/>
              </w:rPr>
            </w:pPr>
            <w:hyperlink r:id="rId10">
              <w:r w:rsidR="0040407E" w:rsidRPr="00F37864">
                <w:t>BDiverty@cihi.ca</w:t>
              </w:r>
            </w:hyperlink>
          </w:p>
        </w:tc>
      </w:tr>
      <w:tr w:rsidR="0040407E" w:rsidTr="0040407E">
        <w:trPr>
          <w:trHeight w:val="1262"/>
        </w:trPr>
        <w:tc>
          <w:tcPr>
            <w:tcW w:w="1838" w:type="dxa"/>
          </w:tcPr>
          <w:p w:rsidR="0040407E" w:rsidRPr="0040407E" w:rsidRDefault="0040407E" w:rsidP="0040407E">
            <w:pPr>
              <w:pStyle w:val="NoSpacing"/>
              <w:rPr>
                <w:b/>
                <w:bCs/>
                <w:color w:val="000000"/>
              </w:rPr>
            </w:pPr>
            <w:r w:rsidRPr="0040407E">
              <w:rPr>
                <w:b/>
                <w:bCs/>
              </w:rPr>
              <w:t>Catherine Street</w:t>
            </w:r>
          </w:p>
        </w:tc>
        <w:tc>
          <w:tcPr>
            <w:tcW w:w="1564" w:type="dxa"/>
          </w:tcPr>
          <w:p w:rsidR="0040407E" w:rsidRPr="00F37864" w:rsidRDefault="0040407E" w:rsidP="0040407E">
            <w:pPr>
              <w:pStyle w:val="NoSpacing"/>
              <w:rPr>
                <w:color w:val="000000"/>
              </w:rPr>
            </w:pPr>
            <w:r w:rsidRPr="00F37864">
              <w:t>Newfoundland and Labrador</w:t>
            </w:r>
          </w:p>
        </w:tc>
        <w:tc>
          <w:tcPr>
            <w:tcW w:w="1985" w:type="dxa"/>
          </w:tcPr>
          <w:p w:rsidR="0040407E" w:rsidRPr="00F37864" w:rsidRDefault="0040407E" w:rsidP="0040407E">
            <w:pPr>
              <w:pStyle w:val="NoSpacing"/>
              <w:rPr>
                <w:color w:val="000000"/>
              </w:rPr>
            </w:pPr>
            <w:r w:rsidRPr="00F37864">
              <w:t>ICES</w:t>
            </w:r>
          </w:p>
        </w:tc>
        <w:tc>
          <w:tcPr>
            <w:tcW w:w="1843" w:type="dxa"/>
          </w:tcPr>
          <w:p w:rsidR="0040407E" w:rsidRPr="00F37864" w:rsidRDefault="0040407E" w:rsidP="0040407E">
            <w:pPr>
              <w:pStyle w:val="NoSpacing"/>
              <w:rPr>
                <w:color w:val="000000"/>
              </w:rPr>
            </w:pPr>
            <w:r w:rsidRPr="00F37864">
              <w:rPr>
                <w:color w:val="000000"/>
              </w:rPr>
              <w:t>Chair of PEWG</w:t>
            </w:r>
          </w:p>
        </w:tc>
        <w:tc>
          <w:tcPr>
            <w:tcW w:w="3260" w:type="dxa"/>
          </w:tcPr>
          <w:p w:rsidR="0040407E" w:rsidRPr="00F37864" w:rsidRDefault="0040407E" w:rsidP="0040407E">
            <w:pPr>
              <w:pStyle w:val="NoSpacing"/>
              <w:rPr>
                <w:color w:val="000000"/>
              </w:rPr>
            </w:pPr>
            <w:r w:rsidRPr="00F37864">
              <w:rPr>
                <w:color w:val="000000"/>
              </w:rPr>
              <w:t>Catherine.Street@med.mun.ca</w:t>
            </w:r>
          </w:p>
        </w:tc>
      </w:tr>
      <w:tr w:rsidR="0040407E" w:rsidTr="0040407E">
        <w:trPr>
          <w:trHeight w:val="758"/>
        </w:trPr>
        <w:tc>
          <w:tcPr>
            <w:tcW w:w="1838" w:type="dxa"/>
          </w:tcPr>
          <w:p w:rsidR="0040407E" w:rsidRPr="0040407E" w:rsidRDefault="0040407E" w:rsidP="0040407E">
            <w:pPr>
              <w:pStyle w:val="NoSpacing"/>
              <w:rPr>
                <w:b/>
                <w:bCs/>
                <w:color w:val="000000"/>
              </w:rPr>
            </w:pPr>
            <w:r w:rsidRPr="0040407E">
              <w:rPr>
                <w:b/>
                <w:bCs/>
              </w:rPr>
              <w:t>Frank Gavin</w:t>
            </w:r>
          </w:p>
        </w:tc>
        <w:tc>
          <w:tcPr>
            <w:tcW w:w="1564" w:type="dxa"/>
          </w:tcPr>
          <w:p w:rsidR="0040407E" w:rsidRPr="00F37864" w:rsidRDefault="0040407E" w:rsidP="0040407E">
            <w:pPr>
              <w:pStyle w:val="NoSpacing"/>
              <w:rPr>
                <w:color w:val="000000"/>
              </w:rPr>
            </w:pPr>
            <w:r w:rsidRPr="00F37864">
              <w:t>Ontario</w:t>
            </w:r>
          </w:p>
        </w:tc>
        <w:tc>
          <w:tcPr>
            <w:tcW w:w="1985" w:type="dxa"/>
          </w:tcPr>
          <w:p w:rsidR="0040407E" w:rsidRPr="00F37864" w:rsidRDefault="0040407E" w:rsidP="0040407E">
            <w:pPr>
              <w:pStyle w:val="NoSpacing"/>
              <w:rPr>
                <w:color w:val="000000"/>
              </w:rPr>
            </w:pPr>
            <w:r w:rsidRPr="00F37864">
              <w:t>HDRN Canada Public Advisory</w:t>
            </w:r>
          </w:p>
          <w:p w:rsidR="0040407E" w:rsidRPr="00F37864" w:rsidRDefault="0040407E" w:rsidP="0040407E">
            <w:pPr>
              <w:pStyle w:val="NoSpacing"/>
              <w:rPr>
                <w:color w:val="000000"/>
              </w:rPr>
            </w:pPr>
            <w:r w:rsidRPr="00F37864">
              <w:t>Council Chair</w:t>
            </w:r>
          </w:p>
        </w:tc>
        <w:tc>
          <w:tcPr>
            <w:tcW w:w="1843" w:type="dxa"/>
          </w:tcPr>
          <w:p w:rsidR="0040407E" w:rsidRPr="00F37864" w:rsidRDefault="0040407E" w:rsidP="0040407E">
            <w:pPr>
              <w:pStyle w:val="NoSpacing"/>
              <w:rPr>
                <w:color w:val="000000"/>
              </w:rPr>
            </w:pPr>
            <w:r w:rsidRPr="00F37864">
              <w:rPr>
                <w:color w:val="000000"/>
              </w:rPr>
              <w:t>Chair of PAC</w:t>
            </w:r>
          </w:p>
        </w:tc>
        <w:tc>
          <w:tcPr>
            <w:tcW w:w="3260" w:type="dxa"/>
          </w:tcPr>
          <w:p w:rsidR="0040407E" w:rsidRPr="00F37864" w:rsidRDefault="00000000" w:rsidP="0040407E">
            <w:pPr>
              <w:pStyle w:val="NoSpacing"/>
              <w:rPr>
                <w:color w:val="000000"/>
              </w:rPr>
            </w:pPr>
            <w:hyperlink r:id="rId11">
              <w:r w:rsidR="0040407E" w:rsidRPr="00F37864">
                <w:t>frankgavin@rogers.com</w:t>
              </w:r>
            </w:hyperlink>
          </w:p>
        </w:tc>
      </w:tr>
      <w:tr w:rsidR="0040407E" w:rsidTr="0040407E">
        <w:trPr>
          <w:trHeight w:val="759"/>
        </w:trPr>
        <w:tc>
          <w:tcPr>
            <w:tcW w:w="1838" w:type="dxa"/>
          </w:tcPr>
          <w:p w:rsidR="0040407E" w:rsidRPr="0040407E" w:rsidRDefault="0040407E" w:rsidP="0040407E">
            <w:pPr>
              <w:pStyle w:val="NoSpacing"/>
              <w:rPr>
                <w:b/>
                <w:bCs/>
                <w:color w:val="000000"/>
              </w:rPr>
            </w:pPr>
            <w:r w:rsidRPr="0040407E">
              <w:rPr>
                <w:b/>
                <w:bCs/>
              </w:rPr>
              <w:t>Jean- François Ethier</w:t>
            </w:r>
          </w:p>
        </w:tc>
        <w:tc>
          <w:tcPr>
            <w:tcW w:w="1564" w:type="dxa"/>
          </w:tcPr>
          <w:p w:rsidR="0040407E" w:rsidRPr="00F37864" w:rsidRDefault="0040407E" w:rsidP="0040407E">
            <w:pPr>
              <w:pStyle w:val="NoSpacing"/>
              <w:rPr>
                <w:color w:val="000000"/>
              </w:rPr>
            </w:pPr>
            <w:r w:rsidRPr="00F37864">
              <w:t>Quebec</w:t>
            </w:r>
          </w:p>
        </w:tc>
        <w:tc>
          <w:tcPr>
            <w:tcW w:w="1985" w:type="dxa"/>
          </w:tcPr>
          <w:p w:rsidR="0040407E" w:rsidRPr="00F37864" w:rsidRDefault="0040407E" w:rsidP="0040407E">
            <w:pPr>
              <w:pStyle w:val="NoSpacing"/>
              <w:rPr>
                <w:color w:val="000000"/>
              </w:rPr>
            </w:pPr>
            <w:r w:rsidRPr="00F37864">
              <w:t>Université de Sherbrooke</w:t>
            </w:r>
          </w:p>
        </w:tc>
        <w:tc>
          <w:tcPr>
            <w:tcW w:w="1843" w:type="dxa"/>
          </w:tcPr>
          <w:p w:rsidR="0040407E" w:rsidRPr="00F37864" w:rsidRDefault="0040407E" w:rsidP="0040407E">
            <w:pPr>
              <w:pStyle w:val="NoSpacing"/>
              <w:rPr>
                <w:color w:val="000000"/>
              </w:rPr>
            </w:pPr>
            <w:r w:rsidRPr="00F37864">
              <w:rPr>
                <w:color w:val="000000"/>
              </w:rPr>
              <w:t>Chair of MIG</w:t>
            </w:r>
          </w:p>
        </w:tc>
        <w:tc>
          <w:tcPr>
            <w:tcW w:w="3260" w:type="dxa"/>
          </w:tcPr>
          <w:p w:rsidR="0040407E" w:rsidRPr="00F37864" w:rsidRDefault="00000000" w:rsidP="0040407E">
            <w:pPr>
              <w:pStyle w:val="NoSpacing"/>
              <w:rPr>
                <w:color w:val="000000"/>
              </w:rPr>
            </w:pPr>
            <w:hyperlink r:id="rId12">
              <w:r w:rsidR="0040407E" w:rsidRPr="00F37864">
                <w:t>ethierj@gmail.com</w:t>
              </w:r>
            </w:hyperlink>
          </w:p>
        </w:tc>
      </w:tr>
      <w:tr w:rsidR="0040407E" w:rsidTr="0040407E">
        <w:trPr>
          <w:trHeight w:val="756"/>
        </w:trPr>
        <w:tc>
          <w:tcPr>
            <w:tcW w:w="1838" w:type="dxa"/>
          </w:tcPr>
          <w:p w:rsidR="0040407E" w:rsidRPr="0040407E" w:rsidRDefault="0040407E" w:rsidP="0040407E">
            <w:pPr>
              <w:pStyle w:val="NoSpacing"/>
              <w:rPr>
                <w:b/>
                <w:bCs/>
                <w:color w:val="000000"/>
              </w:rPr>
            </w:pPr>
            <w:r w:rsidRPr="0040407E">
              <w:rPr>
                <w:b/>
                <w:bCs/>
              </w:rPr>
              <w:t>Jennifer Walker</w:t>
            </w:r>
          </w:p>
        </w:tc>
        <w:tc>
          <w:tcPr>
            <w:tcW w:w="1564" w:type="dxa"/>
          </w:tcPr>
          <w:p w:rsidR="0040407E" w:rsidRPr="00F37864" w:rsidRDefault="0040407E" w:rsidP="0040407E">
            <w:pPr>
              <w:pStyle w:val="NoSpacing"/>
              <w:rPr>
                <w:color w:val="000000"/>
              </w:rPr>
            </w:pPr>
            <w:r w:rsidRPr="00F37864">
              <w:t>Ontario</w:t>
            </w:r>
          </w:p>
        </w:tc>
        <w:tc>
          <w:tcPr>
            <w:tcW w:w="1985" w:type="dxa"/>
          </w:tcPr>
          <w:p w:rsidR="0040407E" w:rsidRPr="00F37864" w:rsidRDefault="0040407E" w:rsidP="0040407E">
            <w:pPr>
              <w:pStyle w:val="NoSpacing"/>
              <w:rPr>
                <w:color w:val="000000"/>
              </w:rPr>
            </w:pPr>
            <w:r w:rsidRPr="00F37864">
              <w:t>ICES, McMaster University</w:t>
            </w:r>
          </w:p>
        </w:tc>
        <w:tc>
          <w:tcPr>
            <w:tcW w:w="1843" w:type="dxa"/>
          </w:tcPr>
          <w:p w:rsidR="0040407E" w:rsidRPr="00F37864" w:rsidRDefault="0040407E" w:rsidP="0040407E">
            <w:pPr>
              <w:pStyle w:val="NoSpacing"/>
              <w:rPr>
                <w:color w:val="000000"/>
              </w:rPr>
            </w:pPr>
            <w:r w:rsidRPr="00F37864">
              <w:rPr>
                <w:color w:val="000000"/>
              </w:rPr>
              <w:t>Lead for Indigenous</w:t>
            </w:r>
          </w:p>
          <w:p w:rsidR="0040407E" w:rsidRPr="00F37864" w:rsidRDefault="0040407E" w:rsidP="0040407E">
            <w:pPr>
              <w:pStyle w:val="NoSpacing"/>
              <w:rPr>
                <w:color w:val="000000"/>
              </w:rPr>
            </w:pPr>
            <w:r w:rsidRPr="00F37864">
              <w:rPr>
                <w:color w:val="000000"/>
              </w:rPr>
              <w:t>initiatives</w:t>
            </w:r>
          </w:p>
        </w:tc>
        <w:bookmarkStart w:id="24" w:name="_35nkun2" w:colFirst="0" w:colLast="0"/>
        <w:bookmarkEnd w:id="24"/>
        <w:tc>
          <w:tcPr>
            <w:tcW w:w="3260" w:type="dxa"/>
          </w:tcPr>
          <w:p w:rsidR="0040407E" w:rsidRPr="00F37864" w:rsidRDefault="0040407E" w:rsidP="0040407E">
            <w:pPr>
              <w:pStyle w:val="NoSpacing"/>
              <w:rPr>
                <w:color w:val="000000"/>
              </w:rPr>
            </w:pPr>
            <w:r w:rsidRPr="00F37864">
              <w:fldChar w:fldCharType="begin"/>
            </w:r>
            <w:r w:rsidRPr="00F37864">
              <w:instrText>HYPERLINK "mailto:jennifer.walker@mcmaster.ca" \h</w:instrText>
            </w:r>
            <w:r w:rsidRPr="00F37864">
              <w:fldChar w:fldCharType="separate"/>
            </w:r>
            <w:r w:rsidRPr="00F37864">
              <w:rPr>
                <w:color w:val="000000"/>
              </w:rPr>
              <w:t>jennifer.walker@mcmaster.ca</w:t>
            </w:r>
            <w:r w:rsidRPr="00F37864">
              <w:rPr>
                <w:color w:val="000000"/>
              </w:rPr>
              <w:fldChar w:fldCharType="end"/>
            </w:r>
          </w:p>
        </w:tc>
      </w:tr>
      <w:tr w:rsidR="0040407E" w:rsidTr="0040407E">
        <w:trPr>
          <w:trHeight w:val="505"/>
        </w:trPr>
        <w:tc>
          <w:tcPr>
            <w:tcW w:w="1838" w:type="dxa"/>
          </w:tcPr>
          <w:p w:rsidR="0040407E" w:rsidRPr="0040407E" w:rsidRDefault="0040407E" w:rsidP="0040407E">
            <w:pPr>
              <w:pStyle w:val="NoSpacing"/>
              <w:rPr>
                <w:b/>
                <w:bCs/>
                <w:color w:val="000000"/>
              </w:rPr>
            </w:pPr>
            <w:r w:rsidRPr="0040407E">
              <w:rPr>
                <w:b/>
                <w:bCs/>
              </w:rPr>
              <w:t>Kim McGrail*</w:t>
            </w:r>
          </w:p>
        </w:tc>
        <w:tc>
          <w:tcPr>
            <w:tcW w:w="1564" w:type="dxa"/>
          </w:tcPr>
          <w:p w:rsidR="0040407E" w:rsidRPr="00F37864" w:rsidRDefault="0040407E" w:rsidP="0040407E">
            <w:pPr>
              <w:pStyle w:val="NoSpacing"/>
              <w:rPr>
                <w:color w:val="000000"/>
              </w:rPr>
            </w:pPr>
            <w:r w:rsidRPr="00F37864">
              <w:t>British Columbia</w:t>
            </w:r>
          </w:p>
        </w:tc>
        <w:tc>
          <w:tcPr>
            <w:tcW w:w="1985" w:type="dxa"/>
          </w:tcPr>
          <w:p w:rsidR="0040407E" w:rsidRPr="00F37864" w:rsidRDefault="0040407E" w:rsidP="0040407E">
            <w:pPr>
              <w:pStyle w:val="NoSpacing"/>
              <w:rPr>
                <w:color w:val="000000"/>
              </w:rPr>
            </w:pPr>
            <w:r w:rsidRPr="00F37864">
              <w:t>Population Data BC</w:t>
            </w:r>
          </w:p>
        </w:tc>
        <w:tc>
          <w:tcPr>
            <w:tcW w:w="1843" w:type="dxa"/>
          </w:tcPr>
          <w:p w:rsidR="0040407E" w:rsidRPr="00F37864" w:rsidRDefault="0040407E" w:rsidP="0040407E">
            <w:pPr>
              <w:pStyle w:val="NoSpacing"/>
              <w:rPr>
                <w:color w:val="000000"/>
              </w:rPr>
            </w:pPr>
            <w:r w:rsidRPr="00F37864">
              <w:rPr>
                <w:color w:val="000000"/>
              </w:rPr>
              <w:t>CEO / SD</w:t>
            </w:r>
          </w:p>
        </w:tc>
        <w:tc>
          <w:tcPr>
            <w:tcW w:w="3260" w:type="dxa"/>
          </w:tcPr>
          <w:p w:rsidR="0040407E" w:rsidRPr="00F37864" w:rsidRDefault="00000000" w:rsidP="0040407E">
            <w:pPr>
              <w:pStyle w:val="NoSpacing"/>
              <w:rPr>
                <w:color w:val="000000"/>
              </w:rPr>
            </w:pPr>
            <w:hyperlink r:id="rId13">
              <w:r w:rsidR="0040407E" w:rsidRPr="00F37864">
                <w:t>kim.mcgrail@ubc.ca</w:t>
              </w:r>
            </w:hyperlink>
          </w:p>
        </w:tc>
      </w:tr>
      <w:tr w:rsidR="0040407E" w:rsidTr="0040407E">
        <w:trPr>
          <w:trHeight w:val="1262"/>
        </w:trPr>
        <w:tc>
          <w:tcPr>
            <w:tcW w:w="1838" w:type="dxa"/>
          </w:tcPr>
          <w:p w:rsidR="0040407E" w:rsidRPr="0040407E" w:rsidRDefault="0040407E" w:rsidP="0040407E">
            <w:pPr>
              <w:pStyle w:val="NoSpacing"/>
              <w:rPr>
                <w:b/>
                <w:bCs/>
                <w:color w:val="000000"/>
              </w:rPr>
            </w:pPr>
            <w:r w:rsidRPr="0040407E">
              <w:rPr>
                <w:b/>
                <w:bCs/>
              </w:rPr>
              <w:t>Michael Schull</w:t>
            </w:r>
          </w:p>
        </w:tc>
        <w:tc>
          <w:tcPr>
            <w:tcW w:w="1564" w:type="dxa"/>
          </w:tcPr>
          <w:p w:rsidR="0040407E" w:rsidRPr="00F37864" w:rsidRDefault="0040407E" w:rsidP="0040407E">
            <w:pPr>
              <w:pStyle w:val="NoSpacing"/>
              <w:rPr>
                <w:color w:val="000000"/>
              </w:rPr>
            </w:pPr>
            <w:r w:rsidRPr="00F37864">
              <w:t>Ontario</w:t>
            </w:r>
          </w:p>
        </w:tc>
        <w:tc>
          <w:tcPr>
            <w:tcW w:w="1985" w:type="dxa"/>
          </w:tcPr>
          <w:p w:rsidR="0040407E" w:rsidRPr="00F37864" w:rsidRDefault="0040407E" w:rsidP="0040407E">
            <w:pPr>
              <w:pStyle w:val="NoSpacing"/>
              <w:rPr>
                <w:color w:val="000000"/>
              </w:rPr>
            </w:pPr>
            <w:r w:rsidRPr="00F37864">
              <w:t>ICES</w:t>
            </w:r>
          </w:p>
        </w:tc>
        <w:tc>
          <w:tcPr>
            <w:tcW w:w="1843" w:type="dxa"/>
          </w:tcPr>
          <w:p w:rsidR="0040407E" w:rsidRPr="00F37864" w:rsidRDefault="0040407E" w:rsidP="0040407E">
            <w:pPr>
              <w:pStyle w:val="NoSpacing"/>
              <w:rPr>
                <w:color w:val="000000"/>
              </w:rPr>
            </w:pPr>
            <w:r w:rsidRPr="00F37864">
              <w:rPr>
                <w:color w:val="000000"/>
              </w:rPr>
              <w:t>Co-PI, Senior responsibility for Stakeholder Partnerships</w:t>
            </w:r>
          </w:p>
        </w:tc>
        <w:tc>
          <w:tcPr>
            <w:tcW w:w="3260" w:type="dxa"/>
          </w:tcPr>
          <w:p w:rsidR="0040407E" w:rsidRPr="00F37864" w:rsidRDefault="00000000" w:rsidP="0040407E">
            <w:pPr>
              <w:pStyle w:val="NoSpacing"/>
              <w:rPr>
                <w:color w:val="000000"/>
              </w:rPr>
            </w:pPr>
            <w:hyperlink r:id="rId14">
              <w:r w:rsidR="0040407E" w:rsidRPr="00F37864">
                <w:t>michael.schull@ices.on.ca</w:t>
              </w:r>
            </w:hyperlink>
          </w:p>
        </w:tc>
      </w:tr>
      <w:tr w:rsidR="0040407E" w:rsidTr="0040407E">
        <w:trPr>
          <w:trHeight w:val="1512"/>
        </w:trPr>
        <w:tc>
          <w:tcPr>
            <w:tcW w:w="1838" w:type="dxa"/>
          </w:tcPr>
          <w:p w:rsidR="0040407E" w:rsidRPr="0040407E" w:rsidRDefault="0040407E" w:rsidP="0040407E">
            <w:pPr>
              <w:pStyle w:val="NoSpacing"/>
              <w:rPr>
                <w:b/>
                <w:bCs/>
                <w:color w:val="000000"/>
              </w:rPr>
            </w:pPr>
            <w:r w:rsidRPr="0040407E">
              <w:rPr>
                <w:b/>
                <w:bCs/>
              </w:rPr>
              <w:t>Nathan Nickel</w:t>
            </w:r>
          </w:p>
        </w:tc>
        <w:tc>
          <w:tcPr>
            <w:tcW w:w="1564" w:type="dxa"/>
          </w:tcPr>
          <w:p w:rsidR="0040407E" w:rsidRPr="00F37864" w:rsidRDefault="0040407E" w:rsidP="0040407E">
            <w:pPr>
              <w:pStyle w:val="NoSpacing"/>
              <w:rPr>
                <w:color w:val="000000"/>
              </w:rPr>
            </w:pPr>
            <w:r w:rsidRPr="00F37864">
              <w:t>Manitoba</w:t>
            </w:r>
          </w:p>
        </w:tc>
        <w:tc>
          <w:tcPr>
            <w:tcW w:w="1985" w:type="dxa"/>
          </w:tcPr>
          <w:p w:rsidR="0040407E" w:rsidRPr="00F37864" w:rsidRDefault="0040407E" w:rsidP="0040407E">
            <w:pPr>
              <w:pStyle w:val="NoSpacing"/>
              <w:rPr>
                <w:color w:val="000000"/>
              </w:rPr>
            </w:pPr>
            <w:r w:rsidRPr="00F37864">
              <w:t>Manitoba Centre for Health Policy</w:t>
            </w:r>
          </w:p>
        </w:tc>
        <w:tc>
          <w:tcPr>
            <w:tcW w:w="1843" w:type="dxa"/>
          </w:tcPr>
          <w:p w:rsidR="0040407E" w:rsidRPr="00F37864" w:rsidRDefault="0040407E" w:rsidP="0040407E">
            <w:pPr>
              <w:pStyle w:val="NoSpacing"/>
              <w:rPr>
                <w:color w:val="000000"/>
              </w:rPr>
            </w:pPr>
            <w:r w:rsidRPr="00F37864">
              <w:t>Senior responsibility for IDEA</w:t>
            </w:r>
          </w:p>
        </w:tc>
        <w:tc>
          <w:tcPr>
            <w:tcW w:w="3260" w:type="dxa"/>
          </w:tcPr>
          <w:p w:rsidR="0040407E" w:rsidRPr="00F37864" w:rsidRDefault="0040407E" w:rsidP="0040407E">
            <w:pPr>
              <w:pStyle w:val="NoSpacing"/>
              <w:rPr>
                <w:color w:val="000000"/>
              </w:rPr>
            </w:pPr>
            <w:r w:rsidRPr="00F37864">
              <w:t>nathan.nickel@umanitoba.ca</w:t>
            </w:r>
          </w:p>
        </w:tc>
      </w:tr>
      <w:tr w:rsidR="0040407E" w:rsidTr="0040407E">
        <w:trPr>
          <w:trHeight w:val="81"/>
        </w:trPr>
        <w:tc>
          <w:tcPr>
            <w:tcW w:w="1838" w:type="dxa"/>
          </w:tcPr>
          <w:p w:rsidR="0040407E" w:rsidRPr="0040407E" w:rsidRDefault="0040407E" w:rsidP="0040407E">
            <w:pPr>
              <w:pStyle w:val="NoSpacing"/>
              <w:rPr>
                <w:b/>
                <w:bCs/>
                <w:color w:val="000000"/>
              </w:rPr>
            </w:pPr>
            <w:r w:rsidRPr="0040407E">
              <w:rPr>
                <w:b/>
                <w:bCs/>
              </w:rPr>
              <w:t>Ted McDonald</w:t>
            </w:r>
          </w:p>
        </w:tc>
        <w:tc>
          <w:tcPr>
            <w:tcW w:w="1564" w:type="dxa"/>
          </w:tcPr>
          <w:p w:rsidR="0040407E" w:rsidRPr="00F37864" w:rsidRDefault="0040407E" w:rsidP="0040407E">
            <w:pPr>
              <w:pStyle w:val="NoSpacing"/>
              <w:rPr>
                <w:color w:val="000000"/>
              </w:rPr>
            </w:pPr>
            <w:r w:rsidRPr="00F37864">
              <w:t>New Brunswick</w:t>
            </w:r>
          </w:p>
        </w:tc>
        <w:tc>
          <w:tcPr>
            <w:tcW w:w="1985" w:type="dxa"/>
          </w:tcPr>
          <w:p w:rsidR="0040407E" w:rsidRPr="00F37864" w:rsidRDefault="0040407E" w:rsidP="0040407E">
            <w:pPr>
              <w:pStyle w:val="NoSpacing"/>
              <w:rPr>
                <w:color w:val="000000"/>
              </w:rPr>
            </w:pPr>
            <w:r w:rsidRPr="00F37864">
              <w:t>NB Institute for Research, Data and Training</w:t>
            </w:r>
          </w:p>
        </w:tc>
        <w:tc>
          <w:tcPr>
            <w:tcW w:w="1843" w:type="dxa"/>
          </w:tcPr>
          <w:p w:rsidR="0040407E" w:rsidRPr="00F37864" w:rsidRDefault="0040407E" w:rsidP="0040407E">
            <w:pPr>
              <w:pStyle w:val="NoSpacing"/>
              <w:rPr>
                <w:color w:val="000000"/>
              </w:rPr>
            </w:pPr>
            <w:r w:rsidRPr="00F37864">
              <w:rPr>
                <w:color w:val="000000"/>
              </w:rPr>
              <w:t>Connection to CRDCN,</w:t>
            </w:r>
          </w:p>
          <w:p w:rsidR="0040407E" w:rsidRPr="00F37864" w:rsidRDefault="0040407E" w:rsidP="0040407E">
            <w:pPr>
              <w:pStyle w:val="NoSpacing"/>
              <w:rPr>
                <w:color w:val="000000"/>
              </w:rPr>
            </w:pPr>
            <w:r w:rsidRPr="00F37864">
              <w:rPr>
                <w:color w:val="000000"/>
              </w:rPr>
              <w:t>Senior responsibility</w:t>
            </w:r>
          </w:p>
          <w:p w:rsidR="0040407E" w:rsidRPr="00F37864" w:rsidRDefault="0040407E" w:rsidP="0040407E">
            <w:pPr>
              <w:pStyle w:val="NoSpacing"/>
              <w:rPr>
                <w:color w:val="000000"/>
              </w:rPr>
            </w:pPr>
            <w:r w:rsidRPr="00F37864">
              <w:rPr>
                <w:color w:val="000000"/>
              </w:rPr>
              <w:t>for Privacy Team</w:t>
            </w:r>
          </w:p>
        </w:tc>
        <w:tc>
          <w:tcPr>
            <w:tcW w:w="3260" w:type="dxa"/>
          </w:tcPr>
          <w:p w:rsidR="0040407E" w:rsidRPr="00F37864" w:rsidRDefault="00000000" w:rsidP="0040407E">
            <w:pPr>
              <w:pStyle w:val="NoSpacing"/>
              <w:rPr>
                <w:color w:val="000000"/>
              </w:rPr>
            </w:pPr>
            <w:hyperlink r:id="rId15">
              <w:r w:rsidR="0040407E" w:rsidRPr="00F37864">
                <w:t>tedmcdon@unb.ca</w:t>
              </w:r>
            </w:hyperlink>
          </w:p>
        </w:tc>
      </w:tr>
    </w:tbl>
    <w:p w:rsidR="0040407E" w:rsidRPr="00324B1E" w:rsidRDefault="0040407E" w:rsidP="00324B1E">
      <w:pPr>
        <w:pBdr>
          <w:top w:val="nil"/>
          <w:left w:val="nil"/>
          <w:bottom w:val="nil"/>
          <w:right w:val="nil"/>
          <w:between w:val="nil"/>
        </w:pBdr>
        <w:spacing w:before="120"/>
        <w:rPr>
          <w:color w:val="000000"/>
          <w:szCs w:val="24"/>
        </w:rPr>
        <w:sectPr w:rsidR="0040407E" w:rsidRPr="00324B1E">
          <w:pgSz w:w="12240" w:h="15840"/>
          <w:pgMar w:top="1660" w:right="1340" w:bottom="1340" w:left="1320" w:header="720" w:footer="1160" w:gutter="0"/>
          <w:cols w:space="720"/>
        </w:sectPr>
      </w:pPr>
      <w:r>
        <w:rPr>
          <w:rFonts w:eastAsia="Arial" w:cs="Arial"/>
          <w:color w:val="000000"/>
          <w:szCs w:val="24"/>
        </w:rPr>
        <w:t>*Chai</w:t>
      </w:r>
      <w:r w:rsidR="00324B1E">
        <w:rPr>
          <w:rFonts w:eastAsia="Arial" w:cs="Arial"/>
          <w:color w:val="000000"/>
          <w:szCs w:val="24"/>
        </w:rPr>
        <w:t>r</w:t>
      </w:r>
    </w:p>
    <w:p w:rsidR="00387569" w:rsidRPr="00816482" w:rsidRDefault="00387569" w:rsidP="0040407E">
      <w:pPr>
        <w:pStyle w:val="Heading1"/>
        <w:tabs>
          <w:tab w:val="left" w:pos="3550"/>
        </w:tabs>
      </w:pPr>
    </w:p>
    <w:sectPr w:rsidR="00387569" w:rsidRPr="00816482" w:rsidSect="0081034D">
      <w:headerReference w:type="default" r:id="rId16"/>
      <w:footerReference w:type="default" r:id="rId17"/>
      <w:pgSz w:w="12240" w:h="15840"/>
      <w:pgMar w:top="1440" w:right="1080" w:bottom="1440" w:left="1080"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4D95" w:rsidRDefault="005E4D95" w:rsidP="0084591A">
      <w:pPr>
        <w:spacing w:after="0" w:line="240" w:lineRule="auto"/>
      </w:pPr>
      <w:r>
        <w:separator/>
      </w:r>
    </w:p>
    <w:p w:rsidR="005E4D95" w:rsidRDefault="005E4D95"/>
  </w:endnote>
  <w:endnote w:type="continuationSeparator" w:id="0">
    <w:p w:rsidR="005E4D95" w:rsidRDefault="005E4D95" w:rsidP="0084591A">
      <w:pPr>
        <w:spacing w:after="0" w:line="240" w:lineRule="auto"/>
      </w:pPr>
      <w:r>
        <w:continuationSeparator/>
      </w:r>
    </w:p>
    <w:p w:rsidR="005E4D95" w:rsidRDefault="005E4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F0502020204030203"/>
    <w:charset w:val="4D"/>
    <w:family w:val="swiss"/>
    <w:pitch w:val="variable"/>
    <w:sig w:usb0="800000AF" w:usb1="4000604A" w:usb2="00000000" w:usb3="00000000" w:csb0="00000093"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8133"/>
      <w:docPartObj>
        <w:docPartGallery w:val="Page Numbers (Bottom of Page)"/>
        <w:docPartUnique/>
      </w:docPartObj>
    </w:sdtPr>
    <w:sdtContent>
      <w:p w:rsidR="0081034D" w:rsidRDefault="0081034D"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rsidR="00AE682A" w:rsidRPr="00D14567" w:rsidRDefault="00000000" w:rsidP="0081034D">
    <w:pPr>
      <w:pStyle w:val="Footer"/>
      <w:ind w:right="360"/>
      <w:rPr>
        <w:rFonts w:ascii="Century Gothic" w:hAnsi="Century Gothic"/>
        <w:sz w:val="18"/>
        <w:szCs w:val="18"/>
      </w:rPr>
    </w:pPr>
  </w:p>
  <w:p w:rsidR="004E17BD" w:rsidRDefault="004E17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4D95" w:rsidRDefault="005E4D95" w:rsidP="0084591A">
      <w:pPr>
        <w:spacing w:after="0" w:line="240" w:lineRule="auto"/>
      </w:pPr>
      <w:r>
        <w:separator/>
      </w:r>
    </w:p>
    <w:p w:rsidR="005E4D95" w:rsidRDefault="005E4D95"/>
  </w:footnote>
  <w:footnote w:type="continuationSeparator" w:id="0">
    <w:p w:rsidR="005E4D95" w:rsidRDefault="005E4D95" w:rsidP="0084591A">
      <w:pPr>
        <w:spacing w:after="0" w:line="240" w:lineRule="auto"/>
      </w:pPr>
      <w:r>
        <w:continuationSeparator/>
      </w:r>
    </w:p>
    <w:p w:rsidR="005E4D95" w:rsidRDefault="005E4D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07E" w:rsidRDefault="0040407E">
    <w:pPr>
      <w:pStyle w:val="Header"/>
    </w:pPr>
    <w:r>
      <w:rPr>
        <w:noProof/>
        <w14:ligatures w14:val="standardContextual"/>
      </w:rPr>
      <w:drawing>
        <wp:anchor distT="0" distB="0" distL="114300" distR="114300" simplePos="0" relativeHeight="251659264" behindDoc="0" locked="0" layoutInCell="1" allowOverlap="1">
          <wp:simplePos x="0" y="0"/>
          <wp:positionH relativeFrom="column">
            <wp:posOffset>7620</wp:posOffset>
          </wp:positionH>
          <wp:positionV relativeFrom="paragraph">
            <wp:posOffset>-114300</wp:posOffset>
          </wp:positionV>
          <wp:extent cx="3122930" cy="571500"/>
          <wp:effectExtent l="0" t="0" r="1270" b="0"/>
          <wp:wrapThrough wrapText="bothSides">
            <wp:wrapPolygon edited="0">
              <wp:start x="1932" y="480"/>
              <wp:lineTo x="878" y="4320"/>
              <wp:lineTo x="0" y="7680"/>
              <wp:lineTo x="0" y="13440"/>
              <wp:lineTo x="351" y="16800"/>
              <wp:lineTo x="791" y="16800"/>
              <wp:lineTo x="2460" y="20160"/>
              <wp:lineTo x="2547" y="21120"/>
              <wp:lineTo x="2987" y="21120"/>
              <wp:lineTo x="4392" y="20160"/>
              <wp:lineTo x="21345" y="17280"/>
              <wp:lineTo x="21521" y="6720"/>
              <wp:lineTo x="17305" y="5280"/>
              <wp:lineTo x="2547" y="480"/>
              <wp:lineTo x="1932" y="480"/>
            </wp:wrapPolygon>
          </wp:wrapThrough>
          <wp:docPr id="1818647885" name="Picture 1818647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660672" name="Picture 853660672"/>
                  <pic:cNvPicPr/>
                </pic:nvPicPr>
                <pic:blipFill rotWithShape="1">
                  <a:blip r:embed="rId1">
                    <a:extLst>
                      <a:ext uri="{28A0092B-C50C-407E-A947-70E740481C1C}">
                        <a14:useLocalDpi xmlns:a14="http://schemas.microsoft.com/office/drawing/2010/main" val="0"/>
                      </a:ext>
                    </a:extLst>
                  </a:blip>
                  <a:srcRect l="4652" t="14714" r="4151" b="14986"/>
                  <a:stretch/>
                </pic:blipFill>
                <pic:spPr bwMode="auto">
                  <a:xfrm>
                    <a:off x="0" y="0"/>
                    <a:ext cx="3122930"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21C" w:rsidRDefault="00DF021C">
    <w:pPr>
      <w:pStyle w:val="Header"/>
    </w:pPr>
    <w:r>
      <w:rPr>
        <w:noProof/>
        <w14:ligatures w14:val="standardContextual"/>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p w:rsidR="004E17BD" w:rsidRDefault="004E17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CE02F4"/>
    <w:multiLevelType w:val="hybridMultilevel"/>
    <w:tmpl w:val="DF30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BF00BD"/>
    <w:multiLevelType w:val="hybridMultilevel"/>
    <w:tmpl w:val="20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81D4E33"/>
    <w:multiLevelType w:val="hybridMultilevel"/>
    <w:tmpl w:val="9F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C08BB"/>
    <w:multiLevelType w:val="multilevel"/>
    <w:tmpl w:val="612A2524"/>
    <w:lvl w:ilvl="0">
      <w:numFmt w:val="bullet"/>
      <w:lvlText w:val="●"/>
      <w:lvlJc w:val="left"/>
      <w:pPr>
        <w:ind w:left="840" w:hanging="360"/>
      </w:pPr>
      <w:rPr>
        <w:rFonts w:ascii="Noto Sans Symbols" w:eastAsia="Noto Sans Symbols" w:hAnsi="Noto Sans Symbols" w:cs="Noto Sans Symbols"/>
        <w:b w:val="0"/>
        <w:i w:val="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36"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FD0C73"/>
    <w:multiLevelType w:val="hybridMultilevel"/>
    <w:tmpl w:val="72E43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27"/>
  </w:num>
  <w:num w:numId="2" w16cid:durableId="1778601442">
    <w:abstractNumId w:val="42"/>
  </w:num>
  <w:num w:numId="3" w16cid:durableId="505093450">
    <w:abstractNumId w:val="14"/>
  </w:num>
  <w:num w:numId="4" w16cid:durableId="216211936">
    <w:abstractNumId w:val="16"/>
  </w:num>
  <w:num w:numId="5" w16cid:durableId="1110855558">
    <w:abstractNumId w:val="7"/>
  </w:num>
  <w:num w:numId="6" w16cid:durableId="668215877">
    <w:abstractNumId w:val="33"/>
  </w:num>
  <w:num w:numId="7" w16cid:durableId="1239439429">
    <w:abstractNumId w:val="2"/>
  </w:num>
  <w:num w:numId="8" w16cid:durableId="284044127">
    <w:abstractNumId w:val="10"/>
  </w:num>
  <w:num w:numId="9" w16cid:durableId="867137962">
    <w:abstractNumId w:val="15"/>
  </w:num>
  <w:num w:numId="10" w16cid:durableId="1620647205">
    <w:abstractNumId w:val="34"/>
  </w:num>
  <w:num w:numId="11" w16cid:durableId="1602756067">
    <w:abstractNumId w:val="18"/>
  </w:num>
  <w:num w:numId="12" w16cid:durableId="1897740764">
    <w:abstractNumId w:val="39"/>
  </w:num>
  <w:num w:numId="13" w16cid:durableId="1011832149">
    <w:abstractNumId w:val="31"/>
  </w:num>
  <w:num w:numId="14" w16cid:durableId="1413166231">
    <w:abstractNumId w:val="21"/>
  </w:num>
  <w:num w:numId="15" w16cid:durableId="18086203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24"/>
  </w:num>
  <w:num w:numId="17" w16cid:durableId="1355692547">
    <w:abstractNumId w:val="37"/>
  </w:num>
  <w:num w:numId="18" w16cid:durableId="1101954039">
    <w:abstractNumId w:val="32"/>
  </w:num>
  <w:num w:numId="19" w16cid:durableId="300304332">
    <w:abstractNumId w:val="20"/>
  </w:num>
  <w:num w:numId="20" w16cid:durableId="407923977">
    <w:abstractNumId w:val="29"/>
  </w:num>
  <w:num w:numId="21" w16cid:durableId="1040204723">
    <w:abstractNumId w:val="12"/>
  </w:num>
  <w:num w:numId="22" w16cid:durableId="1850874684">
    <w:abstractNumId w:val="38"/>
  </w:num>
  <w:num w:numId="23" w16cid:durableId="1695958076">
    <w:abstractNumId w:val="36"/>
  </w:num>
  <w:num w:numId="24" w16cid:durableId="786044748">
    <w:abstractNumId w:val="0"/>
  </w:num>
  <w:num w:numId="25" w16cid:durableId="278032932">
    <w:abstractNumId w:val="5"/>
  </w:num>
  <w:num w:numId="26" w16cid:durableId="1690133998">
    <w:abstractNumId w:val="13"/>
  </w:num>
  <w:num w:numId="27" w16cid:durableId="2002854527">
    <w:abstractNumId w:val="4"/>
  </w:num>
  <w:num w:numId="28" w16cid:durableId="1555463399">
    <w:abstractNumId w:val="41"/>
  </w:num>
  <w:num w:numId="29" w16cid:durableId="927350382">
    <w:abstractNumId w:val="26"/>
  </w:num>
  <w:num w:numId="30" w16cid:durableId="550850048">
    <w:abstractNumId w:val="8"/>
  </w:num>
  <w:num w:numId="31" w16cid:durableId="212278181">
    <w:abstractNumId w:val="17"/>
  </w:num>
  <w:num w:numId="32" w16cid:durableId="1233349150">
    <w:abstractNumId w:val="30"/>
  </w:num>
  <w:num w:numId="33" w16cid:durableId="924916850">
    <w:abstractNumId w:val="1"/>
  </w:num>
  <w:num w:numId="34" w16cid:durableId="899171851">
    <w:abstractNumId w:val="23"/>
  </w:num>
  <w:num w:numId="35" w16cid:durableId="502208143">
    <w:abstractNumId w:val="9"/>
  </w:num>
  <w:num w:numId="36" w16cid:durableId="624697760">
    <w:abstractNumId w:val="28"/>
  </w:num>
  <w:num w:numId="37" w16cid:durableId="372921404">
    <w:abstractNumId w:val="22"/>
  </w:num>
  <w:num w:numId="38" w16cid:durableId="1842888702">
    <w:abstractNumId w:val="19"/>
  </w:num>
  <w:num w:numId="39" w16cid:durableId="144052882">
    <w:abstractNumId w:val="6"/>
  </w:num>
  <w:num w:numId="40" w16cid:durableId="1944220387">
    <w:abstractNumId w:val="25"/>
  </w:num>
  <w:num w:numId="41" w16cid:durableId="80762835">
    <w:abstractNumId w:val="35"/>
  </w:num>
  <w:num w:numId="42" w16cid:durableId="1029066860">
    <w:abstractNumId w:val="3"/>
  </w:num>
  <w:num w:numId="43" w16cid:durableId="68236252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324B1E"/>
    <w:rsid w:val="00327D92"/>
    <w:rsid w:val="00331B32"/>
    <w:rsid w:val="00387569"/>
    <w:rsid w:val="003D1176"/>
    <w:rsid w:val="0040407E"/>
    <w:rsid w:val="004A0518"/>
    <w:rsid w:val="004D0EE8"/>
    <w:rsid w:val="004E17BD"/>
    <w:rsid w:val="005E4D95"/>
    <w:rsid w:val="006844CE"/>
    <w:rsid w:val="0069403C"/>
    <w:rsid w:val="006A4E76"/>
    <w:rsid w:val="006B239A"/>
    <w:rsid w:val="006D1BA6"/>
    <w:rsid w:val="006E27D0"/>
    <w:rsid w:val="0071684B"/>
    <w:rsid w:val="00730AF8"/>
    <w:rsid w:val="00780F5C"/>
    <w:rsid w:val="0081034D"/>
    <w:rsid w:val="00816482"/>
    <w:rsid w:val="00831983"/>
    <w:rsid w:val="0084591A"/>
    <w:rsid w:val="008A1F1F"/>
    <w:rsid w:val="008E17D2"/>
    <w:rsid w:val="008F506A"/>
    <w:rsid w:val="00924ACE"/>
    <w:rsid w:val="00926B4F"/>
    <w:rsid w:val="009B5DA7"/>
    <w:rsid w:val="009E0CED"/>
    <w:rsid w:val="009E3A27"/>
    <w:rsid w:val="00A35E79"/>
    <w:rsid w:val="00AD06AB"/>
    <w:rsid w:val="00B41A2D"/>
    <w:rsid w:val="00B8234F"/>
    <w:rsid w:val="00BF6CD5"/>
    <w:rsid w:val="00C16153"/>
    <w:rsid w:val="00CE4238"/>
    <w:rsid w:val="00D32F77"/>
    <w:rsid w:val="00D868E1"/>
    <w:rsid w:val="00DF021C"/>
    <w:rsid w:val="00E43A97"/>
    <w:rsid w:val="00F167E8"/>
    <w:rsid w:val="00F37864"/>
    <w:rsid w:val="00F51A42"/>
    <w:rsid w:val="00FC344A"/>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pPr>
      <w:spacing w:after="160" w:line="360" w:lineRule="auto"/>
    </w:pPr>
    <w:rPr>
      <w:rFonts w:ascii="Arial" w:hAnsi="Arial"/>
      <w:kern w:val="0"/>
      <w:szCs w:val="22"/>
      <w:lang w:val="en-US"/>
      <w14:ligatures w14:val="none"/>
    </w:rPr>
  </w:style>
  <w:style w:type="paragraph" w:styleId="Heading1">
    <w:name w:val="heading 1"/>
    <w:basedOn w:val="Normal"/>
    <w:next w:val="Normal"/>
    <w:link w:val="Heading1Char"/>
    <w:uiPriority w:val="9"/>
    <w:qFormat/>
    <w:rsid w:val="000249C8"/>
    <w:pPr>
      <w:keepNext/>
      <w:keepLines/>
      <w:spacing w:before="400" w:after="120" w:line="276" w:lineRule="auto"/>
      <w:outlineLvl w:val="0"/>
    </w:pPr>
    <w:rPr>
      <w:rFonts w:ascii="Lato" w:eastAsia="Arial" w:hAnsi="Lato" w:cs="Arial"/>
      <w:b/>
      <w:color w:val="006A78"/>
      <w:sz w:val="28"/>
      <w:szCs w:val="40"/>
      <w:lang w:val="en"/>
    </w:rPr>
  </w:style>
  <w:style w:type="paragraph" w:styleId="Heading2">
    <w:name w:val="heading 2"/>
    <w:basedOn w:val="Normal"/>
    <w:next w:val="Normal"/>
    <w:link w:val="Heading2Char"/>
    <w:autoRedefine/>
    <w:uiPriority w:val="9"/>
    <w:unhideWhenUsed/>
    <w:qFormat/>
    <w:rsid w:val="00730AF8"/>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Normal"/>
    <w:next w:val="Normal"/>
    <w:link w:val="Heading3Char"/>
    <w:autoRedefine/>
    <w:uiPriority w:val="9"/>
    <w:unhideWhenUsed/>
    <w:qFormat/>
    <w:rsid w:val="004A0518"/>
    <w:pPr>
      <w:keepNext/>
      <w:keepLines/>
      <w:spacing w:before="40" w:after="0"/>
      <w:outlineLvl w:val="2"/>
    </w:pPr>
    <w:rPr>
      <w:rFonts w:ascii="Lato" w:eastAsia="Times New Roman" w:hAnsi="Lato" w:cstheme="majorBidi"/>
      <w:b/>
      <w:i/>
      <w:iCs/>
      <w:color w:val="1F3763" w:themeColor="accent1" w:themeShade="7F"/>
      <w:sz w:val="2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9C8"/>
    <w:rPr>
      <w:rFonts w:ascii="Lato" w:eastAsia="Arial" w:hAnsi="Lato" w:cs="Arial"/>
      <w:b/>
      <w:color w:val="006A78"/>
      <w:kern w:val="0"/>
      <w:sz w:val="28"/>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730AF8"/>
    <w:rPr>
      <w:rFonts w:ascii="Lato" w:eastAsiaTheme="majorEastAsia" w:hAnsi="Lato" w:cstheme="majorBidi"/>
      <w:b/>
      <w:color w:val="006A78"/>
      <w:kern w:val="0"/>
      <w:sz w:val="28"/>
      <w:szCs w:val="26"/>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4A0518"/>
    <w:rPr>
      <w:rFonts w:ascii="Lato" w:eastAsia="Times New Roman" w:hAnsi="Lato" w:cstheme="majorBidi"/>
      <w:b/>
      <w:i/>
      <w:iCs/>
      <w:color w:val="1F3763" w:themeColor="accent1" w:themeShade="7F"/>
      <w:kern w:val="0"/>
      <w:sz w:val="27"/>
      <w:lang w:val="en-US"/>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Title"/>
    <w:next w:val="Normal"/>
    <w:link w:val="SubtitleChar"/>
    <w:uiPriority w:val="11"/>
    <w:qFormat/>
    <w:rsid w:val="00324B1E"/>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324B1E"/>
    <w:rPr>
      <w:rFonts w:ascii="Lato" w:eastAsia="Franklin Gothic Book" w:hAnsi="Lato" w:cs="Times New Roman"/>
      <w:b/>
      <w:bCs/>
      <w:noProof/>
      <w:color w:val="00274A"/>
      <w:spacing w:val="-10"/>
      <w:kern w:val="20"/>
      <w:sz w:val="72"/>
      <w:szCs w:val="16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im.mcgrail@ub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hierj@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kgavin@rogers.com" TargetMode="External"/><Relationship Id="rId5" Type="http://schemas.openxmlformats.org/officeDocument/2006/relationships/webSettings" Target="webSettings.xml"/><Relationship Id="rId15" Type="http://schemas.openxmlformats.org/officeDocument/2006/relationships/hyperlink" Target="mailto:tedmcdon@unb.ca" TargetMode="External"/><Relationship Id="rId10" Type="http://schemas.openxmlformats.org/officeDocument/2006/relationships/hyperlink" Target="mailto:BDiverty@cihi.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ichael.schull@ices.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1665</Words>
  <Characters>8893</Characters>
  <Application>Microsoft Office Word</Application>
  <DocSecurity>2</DocSecurity>
  <Lines>193</Lines>
  <Paragraphs>97</Paragraphs>
  <ScaleCrop>false</ScaleCrop>
  <HeadingPairs>
    <vt:vector size="2" baseType="variant">
      <vt:variant>
        <vt:lpstr>Title</vt:lpstr>
      </vt:variant>
      <vt:variant>
        <vt:i4>1</vt:i4>
      </vt:variant>
    </vt:vector>
  </HeadingPairs>
  <TitlesOfParts>
    <vt:vector size="1" baseType="lpstr">
      <vt:lpstr>Finance Committee - Terms of Reference</vt:lpstr>
    </vt:vector>
  </TitlesOfParts>
  <Manager/>
  <Company/>
  <LinksUpToDate>false</LinksUpToDate>
  <CharactersWithSpaces>10461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Terms of Reference</dc:title>
  <dc:subject/>
  <dc:creator>HDRN Canada</dc:creator>
  <cp:keywords/>
  <dc:description/>
  <cp:lastModifiedBy>Shazmeen Omar</cp:lastModifiedBy>
  <cp:revision>6</cp:revision>
  <dcterms:created xsi:type="dcterms:W3CDTF">2023-07-07T23:23:00Z</dcterms:created>
  <dcterms:modified xsi:type="dcterms:W3CDTF">2023-07-14T23:23:00Z</dcterms:modified>
  <cp:category/>
</cp:coreProperties>
</file>