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tag w:val="goog_rdk_0"/>
        <w:id w:val="1297358712"/>
      </w:sdtPr>
      <w:sdtContent>
        <w:p w14:paraId="0EF262FC" w14:textId="77777777" w:rsidR="00913230" w:rsidRDefault="00000000">
          <w:pPr>
            <w:pStyle w:val="Title"/>
            <w:spacing w:after="240"/>
            <w:rPr>
              <w:color w:val="00274A"/>
            </w:rPr>
          </w:pPr>
          <w:r>
            <w:rPr>
              <w:color w:val="00274A"/>
            </w:rPr>
            <w:t xml:space="preserve">RRDS Canada </w:t>
          </w:r>
        </w:p>
      </w:sdtContent>
    </w:sdt>
    <w:p w14:paraId="03CC2076" w14:textId="77777777" w:rsidR="00913230" w:rsidRDefault="00000000">
      <w:pPr>
        <w:pStyle w:val="Subtitle"/>
        <w:spacing w:after="240"/>
      </w:pPr>
      <w:r>
        <w:t>Des données de santé pour toutes et tous : le rôle de l’IA dans la santé</w:t>
      </w:r>
    </w:p>
    <w:sdt>
      <w:sdtPr>
        <w:tag w:val="goog_rdk_1"/>
        <w:id w:val="-1454500160"/>
      </w:sdtPr>
      <w:sdtContent>
        <w:p w14:paraId="49060A36" w14:textId="77777777" w:rsidR="00913230" w:rsidRDefault="00000000">
          <w:pPr>
            <w:pStyle w:val="Title"/>
          </w:pPr>
          <w:r>
            <w:t>Rapport de synthèse</w:t>
          </w:r>
        </w:p>
      </w:sdtContent>
    </w:sdt>
    <w:sdt>
      <w:sdtPr>
        <w:tag w:val="goog_rdk_2"/>
        <w:id w:val="-1274317000"/>
      </w:sdtPr>
      <w:sdtContent>
        <w:p w14:paraId="07C28E11" w14:textId="77777777" w:rsidR="00913230" w:rsidRDefault="00000000">
          <w:pPr>
            <w:tabs>
              <w:tab w:val="left" w:pos="5891"/>
            </w:tabs>
            <w:spacing w:before="240"/>
            <w:rPr>
              <w:color w:val="006A78"/>
            </w:rPr>
          </w:pPr>
          <w:r>
            <w:rPr>
              <w:color w:val="006A78"/>
              <w:sz w:val="32"/>
              <w:szCs w:val="32"/>
            </w:rPr>
            <w:t>Le 28 avril 2025 (Ottawa, Ontario, et en ligne)</w:t>
          </w:r>
          <w:r>
            <w:br w:type="page"/>
          </w:r>
        </w:p>
      </w:sdtContent>
    </w:sdt>
    <w:p w14:paraId="4DD0CA7D" w14:textId="77777777" w:rsidR="00913230" w:rsidRDefault="00000000">
      <w:pPr>
        <w:pStyle w:val="Title"/>
        <w:spacing w:after="240"/>
        <w:rPr>
          <w:color w:val="006A78"/>
          <w:sz w:val="36"/>
          <w:szCs w:val="36"/>
        </w:rPr>
      </w:pPr>
      <w:r>
        <w:rPr>
          <w:color w:val="006A78"/>
          <w:sz w:val="36"/>
          <w:szCs w:val="36"/>
        </w:rPr>
        <w:lastRenderedPageBreak/>
        <w:t>Table des matières</w:t>
      </w:r>
    </w:p>
    <w:p w14:paraId="5DF4EC9C" w14:textId="77777777" w:rsidR="00913230" w:rsidRDefault="00913230">
      <w:pPr>
        <w:keepNext/>
        <w:keepLines/>
        <w:pBdr>
          <w:top w:val="nil"/>
          <w:left w:val="nil"/>
          <w:bottom w:val="nil"/>
          <w:right w:val="nil"/>
          <w:between w:val="nil"/>
        </w:pBdr>
        <w:spacing w:before="240" w:after="200" w:line="259" w:lineRule="auto"/>
        <w:rPr>
          <w:rFonts w:ascii="Calibri" w:eastAsia="Calibri" w:hAnsi="Calibri" w:cs="Calibri"/>
          <w:color w:val="2F5496"/>
          <w:sz w:val="32"/>
          <w:szCs w:val="32"/>
        </w:rPr>
      </w:pPr>
    </w:p>
    <w:sdt>
      <w:sdtPr>
        <w:id w:val="989273608"/>
        <w:docPartObj>
          <w:docPartGallery w:val="Table of Contents"/>
          <w:docPartUnique/>
        </w:docPartObj>
      </w:sdtPr>
      <w:sdtContent>
        <w:p w14:paraId="1825F64A" w14:textId="77777777" w:rsidR="00913230" w:rsidRDefault="00000000">
          <w:pPr>
            <w:widowControl w:val="0"/>
            <w:tabs>
              <w:tab w:val="right" w:leader="dot" w:pos="12000"/>
            </w:tabs>
            <w:spacing w:before="60" w:after="200" w:line="240" w:lineRule="auto"/>
            <w:rPr>
              <w:b/>
              <w:color w:val="000000"/>
              <w:sz w:val="22"/>
              <w:szCs w:val="22"/>
            </w:rPr>
          </w:pPr>
          <w:r>
            <w:fldChar w:fldCharType="begin"/>
          </w:r>
          <w:r>
            <w:instrText xml:space="preserve"> TOC \h \u \z \t "Heading 1,1,Heading 2,2,Heading 3,3,"</w:instrText>
          </w:r>
          <w:r>
            <w:fldChar w:fldCharType="separate"/>
          </w:r>
          <w:hyperlink w:anchor="_heading=h.wmtndaxk15vm">
            <w:r>
              <w:rPr>
                <w:b/>
                <w:color w:val="000000"/>
              </w:rPr>
              <w:t>Introduction</w:t>
            </w:r>
            <w:r>
              <w:rPr>
                <w:b/>
                <w:color w:val="000000"/>
              </w:rPr>
              <w:tab/>
              <w:t>5</w:t>
            </w:r>
          </w:hyperlink>
        </w:p>
        <w:p w14:paraId="036631A7" w14:textId="77777777" w:rsidR="00913230" w:rsidRDefault="00000000">
          <w:pPr>
            <w:widowControl w:val="0"/>
            <w:tabs>
              <w:tab w:val="right" w:leader="dot" w:pos="12000"/>
            </w:tabs>
            <w:spacing w:before="60" w:after="200" w:line="240" w:lineRule="auto"/>
            <w:rPr>
              <w:b/>
              <w:color w:val="000000"/>
              <w:sz w:val="22"/>
              <w:szCs w:val="22"/>
            </w:rPr>
          </w:pPr>
          <w:hyperlink w:anchor="_heading=h.tl375dxzjadt">
            <w:r>
              <w:rPr>
                <w:b/>
                <w:color w:val="000000"/>
              </w:rPr>
              <w:t>Défis éthiques, de protection de la vie privée et d’équité de l’IA dans le domaine de la santé</w:t>
            </w:r>
            <w:r>
              <w:rPr>
                <w:b/>
                <w:color w:val="000000"/>
              </w:rPr>
              <w:tab/>
              <w:t>6</w:t>
            </w:r>
          </w:hyperlink>
        </w:p>
        <w:p w14:paraId="028B9310" w14:textId="77777777" w:rsidR="00913230" w:rsidRDefault="00000000">
          <w:pPr>
            <w:widowControl w:val="0"/>
            <w:tabs>
              <w:tab w:val="right" w:leader="dot" w:pos="12000"/>
            </w:tabs>
            <w:spacing w:before="60" w:after="200" w:line="240" w:lineRule="auto"/>
            <w:rPr>
              <w:b/>
              <w:color w:val="000000"/>
              <w:sz w:val="22"/>
              <w:szCs w:val="22"/>
            </w:rPr>
          </w:pPr>
          <w:hyperlink w:anchor="_heading=h.wp7ybdrw51q8">
            <w:r>
              <w:rPr>
                <w:b/>
                <w:color w:val="000000"/>
              </w:rPr>
              <w:t>L’IA dans le parcours des patient-e-s – Expérience vécue et utilisation responsable de l’IA</w:t>
            </w:r>
            <w:r>
              <w:rPr>
                <w:b/>
                <w:color w:val="000000"/>
              </w:rPr>
              <w:tab/>
              <w:t>9</w:t>
            </w:r>
          </w:hyperlink>
        </w:p>
        <w:p w14:paraId="3F95738D" w14:textId="77777777" w:rsidR="00913230" w:rsidRDefault="00000000">
          <w:pPr>
            <w:widowControl w:val="0"/>
            <w:tabs>
              <w:tab w:val="right" w:leader="dot" w:pos="12000"/>
            </w:tabs>
            <w:spacing w:before="60" w:after="200" w:line="240" w:lineRule="auto"/>
            <w:rPr>
              <w:b/>
              <w:color w:val="000000"/>
              <w:sz w:val="22"/>
              <w:szCs w:val="22"/>
            </w:rPr>
          </w:pPr>
          <w:hyperlink w:anchor="_heading=h.shs25k4ygyyx">
            <w:r>
              <w:rPr>
                <w:b/>
                <w:color w:val="000000"/>
              </w:rPr>
              <w:t>IA éthique, gouvernance des données et lignes directrices pour l’implication des patient-e-s</w:t>
            </w:r>
            <w:r>
              <w:rPr>
                <w:b/>
                <w:color w:val="000000"/>
              </w:rPr>
              <w:tab/>
              <w:t>11</w:t>
            </w:r>
          </w:hyperlink>
        </w:p>
        <w:p w14:paraId="637EBE8A" w14:textId="77777777" w:rsidR="00913230" w:rsidRDefault="00000000">
          <w:pPr>
            <w:widowControl w:val="0"/>
            <w:tabs>
              <w:tab w:val="right" w:leader="dot" w:pos="12000"/>
            </w:tabs>
            <w:spacing w:before="60" w:after="200" w:line="240" w:lineRule="auto"/>
            <w:rPr>
              <w:b/>
              <w:color w:val="000000"/>
              <w:sz w:val="22"/>
              <w:szCs w:val="22"/>
            </w:rPr>
          </w:pPr>
          <w:hyperlink w:anchor="_heading=h.r6n44gkzc516">
            <w:r>
              <w:rPr>
                <w:b/>
                <w:color w:val="000000"/>
              </w:rPr>
              <w:t>Le crépuscule de la bioéthique? Les changements réglementaires et les données communes sur la santé au Canada</w:t>
            </w:r>
            <w:r>
              <w:rPr>
                <w:b/>
                <w:color w:val="000000"/>
              </w:rPr>
              <w:tab/>
              <w:t>13</w:t>
            </w:r>
          </w:hyperlink>
        </w:p>
        <w:p w14:paraId="1060AE92" w14:textId="77777777" w:rsidR="00913230" w:rsidRDefault="00000000">
          <w:pPr>
            <w:widowControl w:val="0"/>
            <w:tabs>
              <w:tab w:val="right" w:leader="dot" w:pos="12000"/>
            </w:tabs>
            <w:spacing w:before="60" w:after="200" w:line="240" w:lineRule="auto"/>
            <w:rPr>
              <w:b/>
              <w:color w:val="000000"/>
              <w:sz w:val="22"/>
              <w:szCs w:val="22"/>
            </w:rPr>
          </w:pPr>
          <w:hyperlink w:anchor="_heading=h.lq9l4dl9dvgk">
            <w:r>
              <w:rPr>
                <w:b/>
                <w:color w:val="000000"/>
              </w:rPr>
              <w:t>Encadrer nos relations : Conversations et considérations sur l’utilisation de l’IA dans les soins de santé et les principes de PCAP des Premières Nations</w:t>
            </w:r>
            <w:r>
              <w:rPr>
                <w:b/>
                <w:color w:val="000000"/>
              </w:rPr>
              <w:tab/>
              <w:t>15</w:t>
            </w:r>
          </w:hyperlink>
        </w:p>
        <w:p w14:paraId="6815C2DF" w14:textId="77777777" w:rsidR="00913230" w:rsidRDefault="00000000">
          <w:pPr>
            <w:widowControl w:val="0"/>
            <w:tabs>
              <w:tab w:val="right" w:leader="dot" w:pos="12000"/>
            </w:tabs>
            <w:spacing w:before="60" w:after="200" w:line="240" w:lineRule="auto"/>
            <w:rPr>
              <w:b/>
              <w:color w:val="000000"/>
              <w:sz w:val="22"/>
              <w:szCs w:val="22"/>
            </w:rPr>
          </w:pPr>
          <w:hyperlink w:anchor="_heading=h.81umb7smsvb2">
            <w:r>
              <w:rPr>
                <w:b/>
                <w:color w:val="000000"/>
              </w:rPr>
              <w:t>Réflexions et perspectives</w:t>
            </w:r>
            <w:r>
              <w:rPr>
                <w:b/>
                <w:color w:val="000000"/>
              </w:rPr>
              <w:tab/>
              <w:t>18</w:t>
            </w:r>
          </w:hyperlink>
        </w:p>
        <w:p w14:paraId="25E1C8D1" w14:textId="77777777" w:rsidR="00913230" w:rsidRDefault="00000000">
          <w:pPr>
            <w:widowControl w:val="0"/>
            <w:tabs>
              <w:tab w:val="right" w:leader="dot" w:pos="12000"/>
            </w:tabs>
            <w:spacing w:before="60" w:after="200" w:line="240" w:lineRule="auto"/>
            <w:ind w:left="360"/>
            <w:rPr>
              <w:color w:val="000000"/>
              <w:sz w:val="22"/>
              <w:szCs w:val="22"/>
            </w:rPr>
          </w:pPr>
          <w:hyperlink w:anchor="_heading=h.swxz9rm3gf7g">
            <w:r>
              <w:rPr>
                <w:color w:val="000000"/>
              </w:rPr>
              <w:t>Des données de santé pour toutes et tous : thèmes clés et réflexions</w:t>
            </w:r>
            <w:r>
              <w:rPr>
                <w:color w:val="000000"/>
              </w:rPr>
              <w:tab/>
              <w:t>20</w:t>
            </w:r>
          </w:hyperlink>
          <w:r>
            <w:fldChar w:fldCharType="end"/>
          </w:r>
        </w:p>
      </w:sdtContent>
    </w:sdt>
    <w:p w14:paraId="61E1D1AA" w14:textId="77777777" w:rsidR="00913230" w:rsidRDefault="00000000">
      <w:pPr>
        <w:pBdr>
          <w:top w:val="nil"/>
          <w:left w:val="nil"/>
          <w:bottom w:val="nil"/>
          <w:right w:val="nil"/>
          <w:between w:val="nil"/>
        </w:pBdr>
        <w:tabs>
          <w:tab w:val="right" w:pos="10070"/>
        </w:tabs>
        <w:spacing w:after="200"/>
        <w:rPr>
          <w:rFonts w:ascii="Lato" w:eastAsia="Lato" w:hAnsi="Lato" w:cs="Lato"/>
          <w:b/>
          <w:color w:val="006A78"/>
        </w:rPr>
      </w:pPr>
      <w:r>
        <w:br w:type="page"/>
      </w:r>
    </w:p>
    <w:p w14:paraId="2F355B7F" w14:textId="77777777" w:rsidR="00913230" w:rsidRDefault="00000000">
      <w:bookmarkStart w:id="0" w:name="_heading=h.8qzoqiy4giri" w:colFirst="0" w:colLast="0"/>
      <w:bookmarkEnd w:id="0"/>
      <w:r>
        <w:rPr>
          <w:i/>
        </w:rPr>
        <w:lastRenderedPageBreak/>
        <w:t>Des données de santé pour toutes et tous : le rôle de l’IA dans la santé</w:t>
      </w:r>
      <w:r>
        <w:rPr>
          <w:b/>
          <w:sz w:val="28"/>
          <w:szCs w:val="28"/>
        </w:rPr>
        <w:t xml:space="preserve"> </w:t>
      </w:r>
      <w:r>
        <w:t xml:space="preserve">était le troisième forum public annuel organisé par le Groupe de travail sur les activités de mobilisation du grand public et le Conseil consultatif public (CCP) du Réseau de recherche sur les données de santé du Canada (RRDS Canada). </w:t>
      </w:r>
    </w:p>
    <w:p w14:paraId="2D03F0D4" w14:textId="77777777" w:rsidR="00913230" w:rsidRDefault="00000000">
      <w:r>
        <w:t xml:space="preserve">Le forum a réuni diverses personnes, y compris des membres du public et des patients partenaires, des chercheurs, des décideurs politiques et des experts en technologies, pour discuter du présent et de l’avenir de l’intelligence artificielle dans les soins de santé et la recherche en santé. Dans le cadre de séances plénières et de tables rondes et grâce à des outils interactifs tels que </w:t>
      </w:r>
      <w:proofErr w:type="spellStart"/>
      <w:r>
        <w:t>Whova</w:t>
      </w:r>
      <w:proofErr w:type="spellEnd"/>
      <w:r>
        <w:t xml:space="preserve"> et </w:t>
      </w:r>
      <w:proofErr w:type="spellStart"/>
      <w:r>
        <w:t>Slido</w:t>
      </w:r>
      <w:proofErr w:type="spellEnd"/>
      <w:r>
        <w:t>, les participants ont abordé les questions de la confiance, de la transparence, de la sécurité culturelle et de l’équité dans le contexte de l’évolution rapide des technologies.</w:t>
      </w:r>
    </w:p>
    <w:p w14:paraId="0B3AB8C1" w14:textId="77777777" w:rsidR="00913230" w:rsidRDefault="00000000">
      <w:r>
        <w:t>Les objectifs du forum étaient les suivants :</w:t>
      </w:r>
    </w:p>
    <w:p w14:paraId="66CE7F61" w14:textId="77777777" w:rsidR="00913230" w:rsidRDefault="00000000">
      <w:pPr>
        <w:numPr>
          <w:ilvl w:val="0"/>
          <w:numId w:val="1"/>
        </w:numPr>
        <w:pBdr>
          <w:top w:val="nil"/>
          <w:left w:val="nil"/>
          <w:bottom w:val="nil"/>
          <w:right w:val="nil"/>
          <w:between w:val="nil"/>
        </w:pBdr>
        <w:spacing w:after="0"/>
      </w:pPr>
      <w:proofErr w:type="gramStart"/>
      <w:r>
        <w:rPr>
          <w:color w:val="000000"/>
        </w:rPr>
        <w:t>créer</w:t>
      </w:r>
      <w:proofErr w:type="gramEnd"/>
      <w:r>
        <w:rPr>
          <w:color w:val="000000"/>
        </w:rPr>
        <w:t xml:space="preserve"> un espace pour que le public puisse s’exprimer afin de façonner l’avenir de l’IA et de l’utilisation des données sur la santé;</w:t>
      </w:r>
    </w:p>
    <w:p w14:paraId="1AF9A014" w14:textId="77777777" w:rsidR="00913230" w:rsidRDefault="00000000">
      <w:pPr>
        <w:numPr>
          <w:ilvl w:val="0"/>
          <w:numId w:val="1"/>
        </w:numPr>
        <w:pBdr>
          <w:top w:val="nil"/>
          <w:left w:val="nil"/>
          <w:bottom w:val="nil"/>
          <w:right w:val="nil"/>
          <w:between w:val="nil"/>
        </w:pBdr>
        <w:spacing w:after="0"/>
      </w:pPr>
      <w:proofErr w:type="gramStart"/>
      <w:r>
        <w:rPr>
          <w:color w:val="000000"/>
        </w:rPr>
        <w:t>souligner</w:t>
      </w:r>
      <w:proofErr w:type="gramEnd"/>
      <w:r>
        <w:rPr>
          <w:color w:val="000000"/>
        </w:rPr>
        <w:t xml:space="preserve"> la nécessité d’un engagement significatif et continu avec les collectivités les plus touchées par les inégalités en matière de santé;</w:t>
      </w:r>
    </w:p>
    <w:p w14:paraId="757EF20F" w14:textId="77777777" w:rsidR="00913230" w:rsidRDefault="00000000">
      <w:pPr>
        <w:numPr>
          <w:ilvl w:val="0"/>
          <w:numId w:val="1"/>
        </w:numPr>
        <w:pBdr>
          <w:top w:val="nil"/>
          <w:left w:val="nil"/>
          <w:bottom w:val="nil"/>
          <w:right w:val="nil"/>
          <w:between w:val="nil"/>
        </w:pBdr>
      </w:pPr>
      <w:proofErr w:type="gramStart"/>
      <w:r>
        <w:rPr>
          <w:color w:val="000000"/>
        </w:rPr>
        <w:t>discuter</w:t>
      </w:r>
      <w:proofErr w:type="gramEnd"/>
      <w:r>
        <w:rPr>
          <w:color w:val="000000"/>
        </w:rPr>
        <w:t xml:space="preserve"> des débouchés et des risques des outils d’IA dans les domaines de la pratique clinique, de la santé mentale, des systèmes de données publiques et de la souveraineté des données autochtones.</w:t>
      </w:r>
    </w:p>
    <w:p w14:paraId="22191EA4" w14:textId="77777777" w:rsidR="00913230" w:rsidRDefault="00000000">
      <w:r>
        <w:t xml:space="preserve">Les discussions ont porté sur un large éventail de sujets, allant du développement éthique de l’IA à la gouvernance inclusive, en passant par les infrastructures de données et les principes de propriété, de contrôle, d’accès et de possession </w:t>
      </w:r>
      <w:hyperlink r:id="rId8">
        <w:r>
          <w:rPr>
            <w:color w:val="0563C1"/>
            <w:u w:val="single"/>
          </w:rPr>
          <w:t>(PCAP®)</w:t>
        </w:r>
      </w:hyperlink>
      <w:r>
        <w:t xml:space="preserve"> des Premières Nations. Au cours de l’événement, un point de vue commun s’est dégagé sur la nécessité de renforcer la confiance du public en misant sur la responsabilité, la conception inclusive et des collaborations durables avec les collectivités.</w:t>
      </w:r>
    </w:p>
    <w:p w14:paraId="38B9305A" w14:textId="77777777" w:rsidR="00913230" w:rsidRDefault="00000000">
      <w:r>
        <w:t xml:space="preserve">Le présent document résume les principaux thèmes et les grandes idées des sessions du forum et met en évidence les éléments que le RRDS Canada et ses partenaires doivent prendre en considération pour continuer de favoriser une gouvernance responsable, inclusive </w:t>
      </w:r>
      <w:r>
        <w:lastRenderedPageBreak/>
        <w:t xml:space="preserve">et transparente des données sur la santé. Visitez la page du forum </w:t>
      </w:r>
      <w:hyperlink r:id="rId9">
        <w:r>
          <w:rPr>
            <w:i/>
            <w:color w:val="1155CC"/>
            <w:u w:val="single"/>
          </w:rPr>
          <w:t>Des données de santé pour toutes et tous</w:t>
        </w:r>
      </w:hyperlink>
      <w:r>
        <w:t xml:space="preserve"> sur le site Web du RRDS Canada pour consulter le </w:t>
      </w:r>
      <w:hyperlink r:id="rId10">
        <w:r>
          <w:rPr>
            <w:color w:val="0563C1"/>
            <w:u w:val="single"/>
          </w:rPr>
          <w:t>programme</w:t>
        </w:r>
      </w:hyperlink>
      <w:r>
        <w:t xml:space="preserve"> détaillé et obtenir de plus amples renseignements.</w:t>
      </w:r>
    </w:p>
    <w:p w14:paraId="3380BE12" w14:textId="77777777" w:rsidR="00913230" w:rsidRDefault="00000000">
      <w:pPr>
        <w:rPr>
          <w:rFonts w:ascii="Lato" w:eastAsia="Lato" w:hAnsi="Lato" w:cs="Lato"/>
          <w:b/>
          <w:color w:val="006A78"/>
          <w:sz w:val="36"/>
          <w:szCs w:val="36"/>
        </w:rPr>
      </w:pPr>
      <w:r>
        <w:br w:type="page"/>
      </w:r>
    </w:p>
    <w:p w14:paraId="6D08760E" w14:textId="77777777" w:rsidR="00913230" w:rsidRDefault="00000000">
      <w:pPr>
        <w:pStyle w:val="Heading1"/>
      </w:pPr>
      <w:bookmarkStart w:id="1" w:name="_heading=h.wmtndaxk15vm" w:colFirst="0" w:colLast="0"/>
      <w:bookmarkEnd w:id="1"/>
      <w:r>
        <w:lastRenderedPageBreak/>
        <w:t>Introduction</w:t>
      </w:r>
    </w:p>
    <w:p w14:paraId="78A5D5CB" w14:textId="77777777" w:rsidR="00913230" w:rsidRDefault="00000000">
      <w:pPr>
        <w:spacing w:before="240"/>
      </w:pPr>
      <w:r>
        <w:t xml:space="preserve">Le maître de cérémonie du forum, </w:t>
      </w:r>
      <w:r>
        <w:rPr>
          <w:b/>
        </w:rPr>
        <w:t>Nathan Nickel</w:t>
      </w:r>
      <w:r>
        <w:t xml:space="preserve"> (membre du comité exécutif du RRDS Canada) a présenté l’événement et </w:t>
      </w:r>
      <w:proofErr w:type="spellStart"/>
      <w:r>
        <w:rPr>
          <w:b/>
        </w:rPr>
        <w:t>Elaine</w:t>
      </w:r>
      <w:proofErr w:type="spellEnd"/>
      <w:r>
        <w:rPr>
          <w:b/>
        </w:rPr>
        <w:t> </w:t>
      </w:r>
      <w:proofErr w:type="spellStart"/>
      <w:r>
        <w:rPr>
          <w:b/>
        </w:rPr>
        <w:t>Kicknosway</w:t>
      </w:r>
      <w:proofErr w:type="spellEnd"/>
      <w:r>
        <w:t xml:space="preserve"> (</w:t>
      </w:r>
      <w:proofErr w:type="spellStart"/>
      <w:r>
        <w:t>Kicknosway</w:t>
      </w:r>
      <w:proofErr w:type="spellEnd"/>
      <w:r>
        <w:t xml:space="preserve"> </w:t>
      </w:r>
      <w:proofErr w:type="spellStart"/>
      <w:r>
        <w:t>Apatchitwane</w:t>
      </w:r>
      <w:proofErr w:type="spellEnd"/>
      <w:r>
        <w:t xml:space="preserve"> </w:t>
      </w:r>
      <w:proofErr w:type="spellStart"/>
      <w:r>
        <w:t>Elaine</w:t>
      </w:r>
      <w:proofErr w:type="spellEnd"/>
      <w:r>
        <w:t>), qui est Crie des marais du côté maternel (sa mère est originaire d’</w:t>
      </w:r>
      <w:proofErr w:type="spellStart"/>
      <w:r>
        <w:t>Amisk</w:t>
      </w:r>
      <w:proofErr w:type="spellEnd"/>
      <w:r>
        <w:t xml:space="preserve"> Lake). Elle est membre de la Nation crie Peter </w:t>
      </w:r>
      <w:proofErr w:type="spellStart"/>
      <w:r>
        <w:t>Ballantyne</w:t>
      </w:r>
      <w:proofErr w:type="spellEnd"/>
      <w:r>
        <w:t>, dans le nord de la Saskatchewan, et fait partie du clan du loup.</w:t>
      </w:r>
    </w:p>
    <w:p w14:paraId="0D07BD5E" w14:textId="77777777" w:rsidR="00913230" w:rsidRDefault="00000000">
      <w:pPr>
        <w:spacing w:before="240"/>
      </w:pPr>
      <w:r>
        <w:t xml:space="preserve">Ses propos ont placé la journée sous le signe de la réconciliation, de l’établissement de liens et de la réciprocité en reconnaissant le territoire non cédé du peuple algonquin </w:t>
      </w:r>
      <w:proofErr w:type="spellStart"/>
      <w:r>
        <w:t>Anishinaabe</w:t>
      </w:r>
      <w:proofErr w:type="spellEnd"/>
      <w:r>
        <w:t>. M</w:t>
      </w:r>
      <w:r>
        <w:rPr>
          <w:vertAlign w:val="superscript"/>
        </w:rPr>
        <w:t>me</w:t>
      </w:r>
      <w:r>
        <w:t> </w:t>
      </w:r>
      <w:proofErr w:type="spellStart"/>
      <w:r>
        <w:t>Kicknosway</w:t>
      </w:r>
      <w:proofErr w:type="spellEnd"/>
      <w:r>
        <w:t xml:space="preserve"> nous a transmis des enseignements sur la terre, la langue et la collectivité, rappelant aux participants que nous devons constamment désapprendre nos préjugés, réfléchir à nos responsabilités personnelles et honorer les systèmes de connaissances des peuples autochtones.</w:t>
      </w:r>
    </w:p>
    <w:p w14:paraId="7CF872EC" w14:textId="77777777" w:rsidR="00913230" w:rsidRDefault="00000000">
      <w:pPr>
        <w:spacing w:before="240"/>
      </w:pPr>
      <w:r>
        <w:t>Elle a souligné qu’il est impossible d’établir la confiance du public dans les soins de santé et les systèmes de données sans reconnaître la longue histoire de méfiance et de préjudices causés aux collectivités autochtones par la colonisation. Elle a invité les participants à réfléchir à la manière dont les relations se forment non seulement entre les individus, mais aussi entre les institutions et la terre. En plaidant pour l’apprentissage des langues et l’humilité culturelle, M</w:t>
      </w:r>
      <w:r>
        <w:rPr>
          <w:vertAlign w:val="superscript"/>
        </w:rPr>
        <w:t>me</w:t>
      </w:r>
      <w:r>
        <w:t> </w:t>
      </w:r>
      <w:proofErr w:type="spellStart"/>
      <w:r>
        <w:t>Kicknosway</w:t>
      </w:r>
      <w:proofErr w:type="spellEnd"/>
      <w:r>
        <w:t xml:space="preserve"> a appelé à la création d’espaces sûrs sur les plans psychologique, spirituel, émotionnel et physique pour l’ensemble des participants. Son message a donné le ton d’un événement axé non seulement sur l’innovation, mais aussi sur la mise en commun des connaissances de façon éthique et respectueuse.</w:t>
      </w:r>
    </w:p>
    <w:p w14:paraId="625DB547" w14:textId="77777777" w:rsidR="00913230" w:rsidRDefault="00000000">
      <w:pPr>
        <w:pBdr>
          <w:top w:val="nil"/>
          <w:left w:val="nil"/>
          <w:bottom w:val="nil"/>
          <w:right w:val="nil"/>
          <w:between w:val="nil"/>
        </w:pBdr>
        <w:jc w:val="center"/>
        <w:rPr>
          <w:i/>
          <w:color w:val="006A78"/>
        </w:rPr>
      </w:pPr>
      <w:r>
        <w:rPr>
          <w:i/>
          <w:color w:val="006A78"/>
        </w:rPr>
        <w:t>« Reconnectez-vous à la terre, et si cela vous rend mal à l’aise, demandez-vous pourquoi. Si vous êtes mal à l’aise de tisser des liens, demandez-vous pourquoi… tous les habitants de ce pays sont porteurs de préjugés, que nous devons constamment désapprendre, de génération en génération. »</w:t>
      </w:r>
    </w:p>
    <w:p w14:paraId="40005410" w14:textId="77777777" w:rsidR="00913230" w:rsidRDefault="00000000">
      <w:pPr>
        <w:pBdr>
          <w:top w:val="nil"/>
          <w:left w:val="nil"/>
          <w:bottom w:val="nil"/>
          <w:right w:val="nil"/>
          <w:between w:val="nil"/>
        </w:pBdr>
        <w:jc w:val="center"/>
        <w:rPr>
          <w:i/>
          <w:color w:val="006A78"/>
        </w:rPr>
      </w:pPr>
      <w:r>
        <w:rPr>
          <w:i/>
          <w:color w:val="006A78"/>
        </w:rPr>
        <w:t>~ </w:t>
      </w:r>
      <w:proofErr w:type="spellStart"/>
      <w:r>
        <w:rPr>
          <w:b/>
          <w:i/>
          <w:color w:val="006A78"/>
        </w:rPr>
        <w:t>Elaine</w:t>
      </w:r>
      <w:proofErr w:type="spellEnd"/>
      <w:r>
        <w:rPr>
          <w:b/>
          <w:i/>
          <w:color w:val="006A78"/>
        </w:rPr>
        <w:t> </w:t>
      </w:r>
      <w:proofErr w:type="spellStart"/>
      <w:r>
        <w:rPr>
          <w:b/>
          <w:i/>
          <w:color w:val="006A78"/>
        </w:rPr>
        <w:t>Kicknosway</w:t>
      </w:r>
      <w:proofErr w:type="spellEnd"/>
    </w:p>
    <w:p w14:paraId="67A5B989" w14:textId="77777777" w:rsidR="00913230" w:rsidRDefault="00000000">
      <w:r>
        <w:lastRenderedPageBreak/>
        <w:t xml:space="preserve">Nous reconnaissons que le forum </w:t>
      </w:r>
      <w:r>
        <w:rPr>
          <w:i/>
        </w:rPr>
        <w:t>Des données de santé pour toutes et tous : le rôle de l’IA dans la santé</w:t>
      </w:r>
      <w:r>
        <w:t xml:space="preserve"> s’est déroulé à Ottawa, sur les territoires traditionnels de la Nation algonquine </w:t>
      </w:r>
      <w:proofErr w:type="spellStart"/>
      <w:r>
        <w:t>Anishinaabe</w:t>
      </w:r>
      <w:proofErr w:type="spellEnd"/>
      <w:r>
        <w:t>, qui vit sur ce territoire depuis des millénaires. Sa culture et sa présence ont nourri cette terre et continuent de le faire. Nous honorons et reconnaissons tous les membres des Premières Nations, Inuits et Métis ainsi que leurs précieuses contributions passées et présentes à cette terre. Des participants de toutes les régions de l’île de la Tortue se sont joints au forum par voie virtuelle.</w:t>
      </w:r>
    </w:p>
    <w:p w14:paraId="5BCBA0CC" w14:textId="77777777" w:rsidR="00913230" w:rsidRDefault="00000000">
      <w:pPr>
        <w:rPr>
          <w:color w:val="006A78"/>
          <w:u w:val="single"/>
        </w:rPr>
      </w:pPr>
      <w:hyperlink r:id="rId11">
        <w:r>
          <w:rPr>
            <w:color w:val="006A78"/>
            <w:u w:val="single"/>
          </w:rPr>
          <w:t>Voir l’enregistrement du protocole et du mot de bienvenue selon les traditions autochtones</w:t>
        </w:r>
      </w:hyperlink>
    </w:p>
    <w:p w14:paraId="2DE49EC2" w14:textId="77777777" w:rsidR="00913230" w:rsidRDefault="00000000">
      <w:pPr>
        <w:pStyle w:val="Heading1"/>
      </w:pPr>
      <w:bookmarkStart w:id="2" w:name="_heading=h.tl375dxzjadt" w:colFirst="0" w:colLast="0"/>
      <w:bookmarkEnd w:id="2"/>
      <w:r>
        <w:t>Défis éthiques, de protection de la vie privée et d’équité de l’IA dans le domaine de la santé</w:t>
      </w:r>
    </w:p>
    <w:p w14:paraId="36AB3A7D" w14:textId="77777777" w:rsidR="00913230" w:rsidRDefault="00000000">
      <w:pPr>
        <w:rPr>
          <w:color w:val="00274A"/>
        </w:rPr>
      </w:pPr>
      <w:bookmarkStart w:id="3" w:name="_heading=h.4ju5g6i9yaoa" w:colFirst="0" w:colLast="0"/>
      <w:bookmarkEnd w:id="3"/>
      <w:r>
        <w:rPr>
          <w:color w:val="00274A"/>
        </w:rPr>
        <w:t xml:space="preserve">Experts : </w:t>
      </w:r>
      <w:r>
        <w:rPr>
          <w:color w:val="00274A"/>
        </w:rPr>
        <w:br/>
      </w:r>
      <w:r>
        <w:rPr>
          <w:rFonts w:ascii="Lato" w:eastAsia="Lato" w:hAnsi="Lato" w:cs="Lato"/>
          <w:b/>
          <w:color w:val="00274A"/>
        </w:rPr>
        <w:t>D</w:t>
      </w:r>
      <w:r>
        <w:rPr>
          <w:rFonts w:ascii="Lato" w:eastAsia="Lato" w:hAnsi="Lato" w:cs="Lato"/>
          <w:b/>
          <w:color w:val="00274A"/>
          <w:vertAlign w:val="superscript"/>
        </w:rPr>
        <w:t>r</w:t>
      </w:r>
      <w:r>
        <w:rPr>
          <w:rFonts w:ascii="Lato" w:eastAsia="Lato" w:hAnsi="Lato" w:cs="Lato"/>
          <w:b/>
          <w:color w:val="00274A"/>
        </w:rPr>
        <w:t> </w:t>
      </w:r>
      <w:proofErr w:type="spellStart"/>
      <w:r>
        <w:rPr>
          <w:rFonts w:ascii="Lato" w:eastAsia="Lato" w:hAnsi="Lato" w:cs="Lato"/>
          <w:b/>
          <w:color w:val="00274A"/>
        </w:rPr>
        <w:t>Amol</w:t>
      </w:r>
      <w:proofErr w:type="spellEnd"/>
      <w:r>
        <w:rPr>
          <w:rFonts w:ascii="Lato" w:eastAsia="Lato" w:hAnsi="Lato" w:cs="Lato"/>
          <w:b/>
          <w:color w:val="00274A"/>
        </w:rPr>
        <w:t> </w:t>
      </w:r>
      <w:proofErr w:type="spellStart"/>
      <w:r>
        <w:rPr>
          <w:rFonts w:ascii="Lato" w:eastAsia="Lato" w:hAnsi="Lato" w:cs="Lato"/>
          <w:b/>
          <w:color w:val="00274A"/>
        </w:rPr>
        <w:t>Verma</w:t>
      </w:r>
      <w:proofErr w:type="spellEnd"/>
      <w:r>
        <w:rPr>
          <w:rFonts w:ascii="Lato" w:eastAsia="Lato" w:hAnsi="Lato" w:cs="Lato"/>
          <w:color w:val="00274A"/>
        </w:rPr>
        <w:t xml:space="preserve">, clinicien-chercheur à l’hôpital St. </w:t>
      </w:r>
      <w:proofErr w:type="spellStart"/>
      <w:r>
        <w:rPr>
          <w:rFonts w:ascii="Lato" w:eastAsia="Lato" w:hAnsi="Lato" w:cs="Lato"/>
          <w:color w:val="00274A"/>
        </w:rPr>
        <w:t>Michael’s</w:t>
      </w:r>
      <w:proofErr w:type="spellEnd"/>
      <w:r>
        <w:rPr>
          <w:rFonts w:ascii="Lato" w:eastAsia="Lato" w:hAnsi="Lato" w:cs="Lato"/>
          <w:color w:val="00274A"/>
        </w:rPr>
        <w:br/>
      </w:r>
      <w:r>
        <w:rPr>
          <w:rFonts w:ascii="Lato" w:eastAsia="Lato" w:hAnsi="Lato" w:cs="Lato"/>
          <w:b/>
          <w:color w:val="00274A"/>
        </w:rPr>
        <w:t>Marta </w:t>
      </w:r>
      <w:proofErr w:type="spellStart"/>
      <w:r>
        <w:rPr>
          <w:rFonts w:ascii="Lato" w:eastAsia="Lato" w:hAnsi="Lato" w:cs="Lato"/>
          <w:b/>
          <w:color w:val="00274A"/>
        </w:rPr>
        <w:t>Maslej</w:t>
      </w:r>
      <w:proofErr w:type="spellEnd"/>
      <w:r>
        <w:rPr>
          <w:rFonts w:ascii="Lato" w:eastAsia="Lato" w:hAnsi="Lato" w:cs="Lato"/>
          <w:color w:val="00274A"/>
        </w:rPr>
        <w:t xml:space="preserve">, membre du personnel scientifique, Centre </w:t>
      </w:r>
      <w:proofErr w:type="spellStart"/>
      <w:r>
        <w:rPr>
          <w:rFonts w:ascii="Lato" w:eastAsia="Lato" w:hAnsi="Lato" w:cs="Lato"/>
          <w:color w:val="00274A"/>
        </w:rPr>
        <w:t>Krembil</w:t>
      </w:r>
      <w:proofErr w:type="spellEnd"/>
      <w:r>
        <w:rPr>
          <w:rFonts w:ascii="Lato" w:eastAsia="Lato" w:hAnsi="Lato" w:cs="Lato"/>
          <w:color w:val="00274A"/>
        </w:rPr>
        <w:t xml:space="preserve"> de </w:t>
      </w:r>
      <w:proofErr w:type="spellStart"/>
      <w:r>
        <w:rPr>
          <w:rFonts w:ascii="Lato" w:eastAsia="Lato" w:hAnsi="Lato" w:cs="Lato"/>
          <w:color w:val="00274A"/>
        </w:rPr>
        <w:t>neuroinformatique</w:t>
      </w:r>
      <w:proofErr w:type="spellEnd"/>
      <w:r>
        <w:rPr>
          <w:rFonts w:ascii="Lato" w:eastAsia="Lato" w:hAnsi="Lato" w:cs="Lato"/>
          <w:color w:val="00274A"/>
        </w:rPr>
        <w:t xml:space="preserve"> du Centre de toxicomanie et de santé mentale</w:t>
      </w:r>
      <w:r>
        <w:rPr>
          <w:rFonts w:ascii="Lato" w:eastAsia="Lato" w:hAnsi="Lato" w:cs="Lato"/>
          <w:b/>
          <w:color w:val="00274A"/>
        </w:rPr>
        <w:br/>
        <w:t>Charlotte Munro</w:t>
      </w:r>
      <w:r>
        <w:rPr>
          <w:rFonts w:ascii="Lato" w:eastAsia="Lato" w:hAnsi="Lato" w:cs="Lato"/>
          <w:color w:val="00274A"/>
        </w:rPr>
        <w:t>, membre du public et patiente partenaire | membre du conseil consultatif public du RRDS Canada</w:t>
      </w:r>
      <w:r>
        <w:rPr>
          <w:rFonts w:ascii="Lato" w:eastAsia="Lato" w:hAnsi="Lato" w:cs="Lato"/>
          <w:b/>
          <w:color w:val="00274A"/>
        </w:rPr>
        <w:t xml:space="preserve"> </w:t>
      </w:r>
    </w:p>
    <w:p w14:paraId="61EFA839" w14:textId="77777777" w:rsidR="00913230" w:rsidRDefault="00000000">
      <w:pPr>
        <w:rPr>
          <w:i/>
          <w:color w:val="00274A"/>
        </w:rPr>
      </w:pPr>
      <w:r>
        <w:rPr>
          <w:color w:val="00274A"/>
        </w:rPr>
        <w:t>Animatrice :</w:t>
      </w:r>
      <w:r>
        <w:rPr>
          <w:color w:val="00274A"/>
        </w:rPr>
        <w:br/>
      </w:r>
      <w:r>
        <w:rPr>
          <w:b/>
          <w:color w:val="00274A"/>
        </w:rPr>
        <w:t xml:space="preserve">Julia Burt, </w:t>
      </w:r>
      <w:r>
        <w:rPr>
          <w:color w:val="00274A"/>
        </w:rPr>
        <w:t>responsable des opérations d’engagement public au RRDS Canada</w:t>
      </w:r>
    </w:p>
    <w:p w14:paraId="4215723E" w14:textId="77777777" w:rsidR="00913230" w:rsidRDefault="00000000">
      <w:r>
        <w:t>Le panel d’experts qui a ouvert le forum, animé par Julia Burt, a abordé le rôle changeant des technologies d’intelligence artificielle (IA) telles que les scribes et les robots conversationnels propulsés par l’IA dans la transformation de la documentation clinique, de la mobilisation des patients et de l’efficacité du système de santé. Tout en reconnaissant que l’IA a le potentiel d’entraîner des économies de temps et d’aider les cliniciens, les experts ont exprimé leurs réserves en raison des risques associés, des préjugés et des problèmes systémiques plus vastes que les technologies seules ne peuvent pas résoudre.</w:t>
      </w:r>
    </w:p>
    <w:p w14:paraId="4BCC7EB4" w14:textId="77777777" w:rsidR="00913230" w:rsidRDefault="00000000">
      <w:r>
        <w:t xml:space="preserve">Le </w:t>
      </w:r>
      <w:r>
        <w:rPr>
          <w:b/>
        </w:rPr>
        <w:t>D</w:t>
      </w:r>
      <w:r>
        <w:rPr>
          <w:b/>
          <w:vertAlign w:val="superscript"/>
        </w:rPr>
        <w:t>r</w:t>
      </w:r>
      <w:r>
        <w:rPr>
          <w:b/>
        </w:rPr>
        <w:t xml:space="preserve"> </w:t>
      </w:r>
      <w:proofErr w:type="spellStart"/>
      <w:r>
        <w:rPr>
          <w:b/>
        </w:rPr>
        <w:t>Amol</w:t>
      </w:r>
      <w:proofErr w:type="spellEnd"/>
      <w:r>
        <w:rPr>
          <w:b/>
        </w:rPr>
        <w:t> </w:t>
      </w:r>
      <w:proofErr w:type="spellStart"/>
      <w:r>
        <w:rPr>
          <w:b/>
        </w:rPr>
        <w:t>Verma</w:t>
      </w:r>
      <w:proofErr w:type="spellEnd"/>
      <w:r>
        <w:t xml:space="preserve"> a fait valoir que les scribes propulsés par l’IA améliorent les interactions entre les patients et les prestataires de soins et réduisent l’épuisement professionnel des </w:t>
      </w:r>
      <w:r>
        <w:lastRenderedPageBreak/>
        <w:t xml:space="preserve">cliniciens en leur permettant de réaliser des gains de deux à trois heures par semaine pour les tâches de documentation. Il a souligné que si ces outils améliorent l’efficacité, la manière dont ils enregistrent et structurent les renseignements peut introduire des préjugés et influencer les soins futurs. Il a appelé à la mise en place d’une infrastructure, d’une gouvernance et d’évaluations solides afin de garantir que l’IA est créée et utilisée de manière responsable. </w:t>
      </w:r>
    </w:p>
    <w:p w14:paraId="7F25927C" w14:textId="77777777" w:rsidR="00913230" w:rsidRDefault="00000000">
      <w:pPr>
        <w:pBdr>
          <w:top w:val="nil"/>
          <w:left w:val="nil"/>
          <w:bottom w:val="nil"/>
          <w:right w:val="nil"/>
          <w:between w:val="nil"/>
        </w:pBdr>
        <w:jc w:val="center"/>
        <w:rPr>
          <w:color w:val="006A78"/>
        </w:rPr>
      </w:pPr>
      <w:r>
        <w:rPr>
          <w:i/>
          <w:color w:val="006A78"/>
        </w:rPr>
        <w:t xml:space="preserve">« Nous ne sommes pas en retard, nous sommes en avance. Ce dont nous avons besoin, c’est d’une infrastructure, et non d’une mise en œuvre précipitée. » </w:t>
      </w:r>
      <w:r>
        <w:rPr>
          <w:color w:val="006A78"/>
        </w:rPr>
        <w:br/>
      </w:r>
      <w:r>
        <w:rPr>
          <w:b/>
          <w:color w:val="006A78"/>
        </w:rPr>
        <w:t>~ D</w:t>
      </w:r>
      <w:r>
        <w:rPr>
          <w:b/>
          <w:color w:val="006A78"/>
          <w:vertAlign w:val="superscript"/>
        </w:rPr>
        <w:t>r</w:t>
      </w:r>
      <w:r>
        <w:rPr>
          <w:b/>
          <w:color w:val="006A78"/>
        </w:rPr>
        <w:t> </w:t>
      </w:r>
      <w:proofErr w:type="spellStart"/>
      <w:r>
        <w:rPr>
          <w:b/>
          <w:color w:val="006A78"/>
        </w:rPr>
        <w:t>Amol</w:t>
      </w:r>
      <w:proofErr w:type="spellEnd"/>
      <w:r>
        <w:rPr>
          <w:b/>
          <w:color w:val="006A78"/>
        </w:rPr>
        <w:t> </w:t>
      </w:r>
      <w:proofErr w:type="spellStart"/>
      <w:r>
        <w:rPr>
          <w:b/>
          <w:color w:val="006A78"/>
        </w:rPr>
        <w:t>Verma</w:t>
      </w:r>
      <w:proofErr w:type="spellEnd"/>
    </w:p>
    <w:p w14:paraId="5F7189BE" w14:textId="77777777" w:rsidR="00913230" w:rsidRDefault="00000000">
      <w:r>
        <w:t xml:space="preserve">La </w:t>
      </w:r>
      <w:r>
        <w:rPr>
          <w:b/>
        </w:rPr>
        <w:t>D</w:t>
      </w:r>
      <w:r>
        <w:rPr>
          <w:b/>
          <w:vertAlign w:val="superscript"/>
        </w:rPr>
        <w:t>re</w:t>
      </w:r>
      <w:r>
        <w:rPr>
          <w:b/>
        </w:rPr>
        <w:t> Marta </w:t>
      </w:r>
      <w:proofErr w:type="spellStart"/>
      <w:r>
        <w:rPr>
          <w:b/>
        </w:rPr>
        <w:t>Maslej</w:t>
      </w:r>
      <w:proofErr w:type="spellEnd"/>
      <w:r>
        <w:t xml:space="preserve"> a parlé de la valeur de l’IA dans le domaine de la santé mentale, où les données narratives sont complexes et chronophages. Elle a souligné que l’IA peut réduire le fardeau administratif, tout en rappelant que les gains de temps ne doivent pas se traduire par une augmentation des attentes et du nombre de patients pris en charge. Elle a également fait part de ses inquiétudes concernant le recours à un vocabulaire tendancieux ou stigmatisant dans les notes cliniques et a insisté sur l’importance de développer des systèmes d’IA qui atténuent les préjudices plutôt que de les renforcer.</w:t>
      </w:r>
    </w:p>
    <w:p w14:paraId="21BE310A" w14:textId="77777777" w:rsidR="00913230" w:rsidRDefault="00000000">
      <w:pPr>
        <w:pBdr>
          <w:top w:val="nil"/>
          <w:left w:val="nil"/>
          <w:bottom w:val="nil"/>
          <w:right w:val="nil"/>
          <w:between w:val="nil"/>
        </w:pBdr>
        <w:jc w:val="center"/>
        <w:rPr>
          <w:color w:val="006A78"/>
        </w:rPr>
      </w:pPr>
      <w:r>
        <w:rPr>
          <w:i/>
          <w:color w:val="006A78"/>
        </w:rPr>
        <w:t xml:space="preserve">« L’efficacité est une bonne chose, mais si nous ne nous attaquons pas aux problèmes systémiques, ces outils risquent d’alourdir la charge de travail des cliniciens. » </w:t>
      </w:r>
      <w:r>
        <w:rPr>
          <w:b/>
          <w:color w:val="006A78"/>
        </w:rPr>
        <w:t>~ D</w:t>
      </w:r>
      <w:r>
        <w:rPr>
          <w:b/>
          <w:color w:val="006A78"/>
          <w:vertAlign w:val="superscript"/>
        </w:rPr>
        <w:t>re</w:t>
      </w:r>
      <w:r>
        <w:rPr>
          <w:b/>
          <w:color w:val="006A78"/>
        </w:rPr>
        <w:t> Marta </w:t>
      </w:r>
      <w:proofErr w:type="spellStart"/>
      <w:r>
        <w:rPr>
          <w:b/>
          <w:color w:val="006A78"/>
        </w:rPr>
        <w:t>Maslej</w:t>
      </w:r>
      <w:proofErr w:type="spellEnd"/>
    </w:p>
    <w:p w14:paraId="186C1F82" w14:textId="77777777" w:rsidR="00913230" w:rsidRDefault="00000000">
      <w:r>
        <w:rPr>
          <w:b/>
        </w:rPr>
        <w:t>Charlotte Munro</w:t>
      </w:r>
      <w:r>
        <w:t xml:space="preserve"> a raconté une expérience personnelle où des erreurs dans les dossiers cliniques ont eu de graves conséquences pour son fils. Elle s’est tournée vers </w:t>
      </w:r>
      <w:proofErr w:type="spellStart"/>
      <w:r>
        <w:t>ChatGPT</w:t>
      </w:r>
      <w:proofErr w:type="spellEnd"/>
      <w:r>
        <w:t xml:space="preserve"> pour obtenir des précisions, et l’a trouvé plus utile que son prestataire de soins de santé. Son histoire illustre comment les omissions et les préjugés dans la documentation peuvent nuire aux soins, en particulier ceux des patients marginalisés, et comment l’IA peut aider les patients lorsque le système n’est pas à la hauteur.</w:t>
      </w:r>
    </w:p>
    <w:p w14:paraId="07016DA9" w14:textId="77777777" w:rsidR="00913230" w:rsidRDefault="00000000">
      <w:r>
        <w:t>Le rôle des robots conversationnels propulsés par l’IA dans les soins de santé a également été abordé. La D</w:t>
      </w:r>
      <w:r>
        <w:rPr>
          <w:vertAlign w:val="superscript"/>
        </w:rPr>
        <w:t>re</w:t>
      </w:r>
      <w:r>
        <w:t xml:space="preserve"> </w:t>
      </w:r>
      <w:proofErr w:type="spellStart"/>
      <w:r>
        <w:t>Maslej</w:t>
      </w:r>
      <w:proofErr w:type="spellEnd"/>
      <w:r>
        <w:t xml:space="preserve"> voit un potentiel dans l’utilisation d’outils d’IA pour élargir le soutien offert en santé mentale, car un très grand nombre de personnes ont accès à des téléphones intelligents. Cependant, elle a, et elle n’est pas la seule, exprimé des inquiétudes au niveau de </w:t>
      </w:r>
      <w:r>
        <w:lastRenderedPageBreak/>
        <w:t>la sécurité, en particulier quand des résultats inexacts ou inappropriés ne sont pas vérifiés, par exemple, lorsqu’un robot conversationnel a suggéré à une personne de fumer pour soulager son stress. Les experts se sont entendus pour dire que des garde-fous solides sont essentiels pour atténuer les effets préjudiciables.</w:t>
      </w:r>
    </w:p>
    <w:p w14:paraId="5CD89F0B" w14:textId="77777777" w:rsidR="00913230" w:rsidRDefault="00000000">
      <w:r>
        <w:t>Au cours de la période de questions, les participants ont demandé comment interroger efficacement les modèles d’IA générative et si les systèmes actuels pouvaient traiter les renseignements complexes contenus dans les dossiers médicaux. Tous les experts ont souligné la nécessité de poursuivre les examens d’évaluation des technologies de la santé pour que ces outils soient sûrs, équitables et intéressants du point de vue clinique.</w:t>
      </w:r>
    </w:p>
    <w:p w14:paraId="7D5A611A" w14:textId="77777777" w:rsidR="00913230" w:rsidRDefault="00000000">
      <w:r>
        <w:t>L’IA offre un grand potentiel pour faciliter les soins de santé, mais elle doit être traitée comme un outil de soutien, et non comme un raccourci. Grâce à une intégration réfléchie, à une supervision rigoureuse et à une conception inclusive, l’IA peut nous aider à repenser un système qui sert les prestataires de soins et les patients de manière plus efficace.</w:t>
      </w:r>
    </w:p>
    <w:p w14:paraId="0F4C292B" w14:textId="77777777" w:rsidR="00913230" w:rsidRDefault="00000000">
      <w:pPr>
        <w:spacing w:before="240"/>
        <w:rPr>
          <w:color w:val="006A78"/>
          <w:u w:val="single"/>
        </w:rPr>
      </w:pPr>
      <w:hyperlink r:id="rId12">
        <w:r>
          <w:rPr>
            <w:color w:val="006A78"/>
            <w:u w:val="single"/>
          </w:rPr>
          <w:t>Voir l’enregistrement du panel d’experts : Défis éthiques, de protection de la vie privée et d’équité de l’IA dans le domaine de la santé</w:t>
        </w:r>
      </w:hyperlink>
    </w:p>
    <w:p w14:paraId="77D420B9" w14:textId="77777777" w:rsidR="00913230" w:rsidRDefault="00000000">
      <w:pPr>
        <w:rPr>
          <w:rFonts w:ascii="Lato" w:eastAsia="Lato" w:hAnsi="Lato" w:cs="Lato"/>
          <w:b/>
          <w:color w:val="006A78"/>
          <w:sz w:val="36"/>
          <w:szCs w:val="36"/>
        </w:rPr>
      </w:pPr>
      <w:r>
        <w:br w:type="page"/>
      </w:r>
    </w:p>
    <w:p w14:paraId="1FF84BB3" w14:textId="77777777" w:rsidR="00913230" w:rsidRDefault="00000000">
      <w:pPr>
        <w:pStyle w:val="Heading1"/>
      </w:pPr>
      <w:bookmarkStart w:id="4" w:name="_heading=h.wp7ybdrw51q8" w:colFirst="0" w:colLast="0"/>
      <w:bookmarkEnd w:id="4"/>
      <w:r>
        <w:lastRenderedPageBreak/>
        <w:t>L’IA dans le parcours des patient-e-s – Expérience vécue et utilisation responsable de l’IA</w:t>
      </w:r>
    </w:p>
    <w:p w14:paraId="137CDA7C" w14:textId="77777777" w:rsidR="00913230" w:rsidRDefault="00000000">
      <w:pPr>
        <w:rPr>
          <w:i/>
        </w:rPr>
      </w:pPr>
      <w:bookmarkStart w:id="5" w:name="_heading=h.6ynr7721o7jb" w:colFirst="0" w:colLast="0"/>
      <w:bookmarkEnd w:id="5"/>
      <w:r>
        <w:rPr>
          <w:color w:val="00274A"/>
        </w:rPr>
        <w:t xml:space="preserve">Présentatrices : </w:t>
      </w:r>
      <w:r>
        <w:br/>
      </w:r>
      <w:proofErr w:type="spellStart"/>
      <w:r>
        <w:rPr>
          <w:rFonts w:ascii="Lato" w:eastAsia="Lato" w:hAnsi="Lato" w:cs="Lato"/>
          <w:b/>
          <w:color w:val="00274A"/>
        </w:rPr>
        <w:t>Alvina</w:t>
      </w:r>
      <w:proofErr w:type="spellEnd"/>
      <w:r>
        <w:rPr>
          <w:rFonts w:ascii="Lato" w:eastAsia="Lato" w:hAnsi="Lato" w:cs="Lato"/>
          <w:b/>
          <w:color w:val="00274A"/>
        </w:rPr>
        <w:t xml:space="preserve"> Nadeem, </w:t>
      </w:r>
      <w:r>
        <w:rPr>
          <w:rFonts w:ascii="Lato" w:eastAsia="Lato" w:hAnsi="Lato" w:cs="Lato"/>
          <w:color w:val="00274A"/>
        </w:rPr>
        <w:t>membre du public et patiente partenaire | Membre du CCP du RRDS Canada</w:t>
      </w:r>
      <w:r>
        <w:rPr>
          <w:rFonts w:ascii="Lato" w:eastAsia="Lato" w:hAnsi="Lato" w:cs="Lato"/>
          <w:b/>
          <w:color w:val="00274A"/>
        </w:rPr>
        <w:br/>
        <w:t>D</w:t>
      </w:r>
      <w:r>
        <w:rPr>
          <w:rFonts w:ascii="Lato" w:eastAsia="Lato" w:hAnsi="Lato" w:cs="Lato"/>
          <w:b/>
          <w:color w:val="00274A"/>
          <w:vertAlign w:val="superscript"/>
        </w:rPr>
        <w:t>re</w:t>
      </w:r>
      <w:r>
        <w:rPr>
          <w:rFonts w:ascii="Lato" w:eastAsia="Lato" w:hAnsi="Lato" w:cs="Lato"/>
          <w:b/>
          <w:color w:val="00274A"/>
        </w:rPr>
        <w:t xml:space="preserve"> Kim McGrail, </w:t>
      </w:r>
      <w:r>
        <w:rPr>
          <w:rFonts w:ascii="Lato" w:eastAsia="Lato" w:hAnsi="Lato" w:cs="Lato"/>
          <w:color w:val="00274A"/>
        </w:rPr>
        <w:t>directrice générale et directrice scientifique du RRDS Canada</w:t>
      </w:r>
    </w:p>
    <w:p w14:paraId="37D69353" w14:textId="77777777" w:rsidR="00913230" w:rsidRDefault="00000000">
      <w:r>
        <w:t>Cette session portait principalement sur le rôle changeant des technologies d’IA dans les soins de santé. On y a souligné leur potentiel pour accroître l’efficacité, réduire les obstacles et soutenir les patients dans leur parcours de soins. M</w:t>
      </w:r>
      <w:r>
        <w:rPr>
          <w:vertAlign w:val="superscript"/>
        </w:rPr>
        <w:t>me</w:t>
      </w:r>
      <w:r>
        <w:t> Nadeem a présenté son expérience, qui reflète des enjeux systémiques plus larges et les possibilités qu’offre l’IA pour aider à les surmonter.</w:t>
      </w:r>
    </w:p>
    <w:p w14:paraId="3DDEAD8C" w14:textId="77777777" w:rsidR="00913230" w:rsidRDefault="00000000">
      <w:r>
        <w:t>M</w:t>
      </w:r>
      <w:r>
        <w:rPr>
          <w:vertAlign w:val="superscript"/>
        </w:rPr>
        <w:t>me</w:t>
      </w:r>
      <w:r>
        <w:t xml:space="preserve"> Nadeem a raconté une histoire très personnelle : on lui a diagnostiqué un cancer de l’ovaire de stade 1 à l’âge de 36 ans, soit bien avant l’âge moyen pour ce type de problème de santé. Elle a décrit comment des symptômes tels que la fatigue, les ballonnements et les cycles menstruels irréguliers ont d’abord été associés à un épuisement professionnel ou à une ménopause précoce. Elle s’est tournée vers </w:t>
      </w:r>
      <w:proofErr w:type="spellStart"/>
      <w:r>
        <w:t>ChatGPT</w:t>
      </w:r>
      <w:proofErr w:type="spellEnd"/>
      <w:r>
        <w:t xml:space="preserve"> pour mieux comprendre ses symptômes et, en l’interrogeant comme une étudiante en médecine dans le cadre d’une étude de cas, elle a pu explorer les causes possibles de manière critique. Cet outil l’a aidée à reconnaître les schémas de ses symptômes et lui a permis d’acquérir le vocabulaire et la confiance nécessaires pour défendre ses opinions dans un contexte clinique. Contrairement aux moteurs de recherche traditionnels, </w:t>
      </w:r>
      <w:proofErr w:type="spellStart"/>
      <w:r>
        <w:t>ChatGPT</w:t>
      </w:r>
      <w:proofErr w:type="spellEnd"/>
      <w:r>
        <w:t xml:space="preserve"> a représenté une manière plus empathique et plus accessible d’assimiler les renseignements médicaux. Il est devenu son compagnon tout au long de son parcours de soins, traduisant les résultats d’IRM, générant des questions à poser lors des rendez-vous et l’aidant à gérer ses émotions pendant les longues périodes d’attente entre les visites. M</w:t>
      </w:r>
      <w:r>
        <w:rPr>
          <w:vertAlign w:val="superscript"/>
        </w:rPr>
        <w:t>me</w:t>
      </w:r>
      <w:r>
        <w:t xml:space="preserve"> Nadeem a souligné que même si l’IA n’est pas parfaite, elle a permis de combler les lacunes informationnelles entre ses prestataires de soins et elle. </w:t>
      </w:r>
    </w:p>
    <w:p w14:paraId="22B497E5" w14:textId="77777777" w:rsidR="00913230" w:rsidRDefault="00000000">
      <w:r>
        <w:t>La D</w:t>
      </w:r>
      <w:r>
        <w:rPr>
          <w:vertAlign w:val="superscript"/>
        </w:rPr>
        <w:t>re</w:t>
      </w:r>
      <w:r>
        <w:t xml:space="preserve"> McGrail a donné des éléments de contexte et présenté l’IA comme étant un domaine vaste et complexe, la comparant à une constellation de technologies et de pratiques. Elle a souligné l’importance de la pensée critique lors de l’utilisation d’outils génératifs, notamment </w:t>
      </w:r>
      <w:r>
        <w:lastRenderedPageBreak/>
        <w:t>parce que les résultats peuvent varier selon la manière de poser les questions. Ses réflexions ont rappelé que l’utilité de l’IA dépend non seulement de sa conception, mais aussi de la compréhension et du jugement des utilisateurs.</w:t>
      </w:r>
    </w:p>
    <w:p w14:paraId="05340356" w14:textId="77777777" w:rsidR="00913230" w:rsidRDefault="00000000">
      <w:r>
        <w:t>M</w:t>
      </w:r>
      <w:r>
        <w:rPr>
          <w:vertAlign w:val="superscript"/>
        </w:rPr>
        <w:t>me</w:t>
      </w:r>
      <w:r>
        <w:t xml:space="preserve"> Nadeem a également expliqué comment </w:t>
      </w:r>
      <w:proofErr w:type="spellStart"/>
      <w:r>
        <w:t>ChatGPT</w:t>
      </w:r>
      <w:proofErr w:type="spellEnd"/>
      <w:r>
        <w:t xml:space="preserve"> l’a aidée à trouver les mots pour parler à ses jeunes enfants des changements visibles pendant le traitement. Après le traitement, elle a continué à utiliser </w:t>
      </w:r>
      <w:proofErr w:type="spellStart"/>
      <w:r>
        <w:t>ChatGPT</w:t>
      </w:r>
      <w:proofErr w:type="spellEnd"/>
      <w:r>
        <w:t xml:space="preserve"> pour gérer son brouillard cérébral, planifier ses journées et favoriser son rétablissement psychologique. Elle a parlé de sa vision d’un avenir où les systèmes de soins de santé pourraient utiliser des outils d’IA fiables qui faciliteraient le suivi des besoins des patients et qui aideraient les patients et les médecins à se préparer pour les rendez-vous. Une telle solution permettrait aux patients de s’exprimer plus facilement, améliorerait la communication entre les patients et leur médecin et contribuerait à assurer des soins plus connectés et plus cohérents.</w:t>
      </w:r>
    </w:p>
    <w:p w14:paraId="3770B73C" w14:textId="77777777" w:rsidR="00913230" w:rsidRDefault="00000000">
      <w:pPr>
        <w:pBdr>
          <w:top w:val="nil"/>
          <w:left w:val="nil"/>
          <w:bottom w:val="nil"/>
          <w:right w:val="nil"/>
          <w:between w:val="nil"/>
        </w:pBdr>
        <w:jc w:val="center"/>
        <w:rPr>
          <w:color w:val="006A78"/>
        </w:rPr>
      </w:pPr>
      <w:r>
        <w:rPr>
          <w:i/>
          <w:color w:val="006A78"/>
        </w:rPr>
        <w:t>« J’ai eu mon mot à dire. Les points que j’ai fait valoir étaient intéressants, et cela m’a incitée à continuer d’utiliser l’IA dans le cadre de mon parcours de soins. »</w:t>
      </w:r>
      <w:r>
        <w:rPr>
          <w:color w:val="006A78"/>
        </w:rPr>
        <w:t xml:space="preserve"> </w:t>
      </w:r>
      <w:r>
        <w:rPr>
          <w:color w:val="006A78"/>
        </w:rPr>
        <w:br/>
      </w:r>
      <w:r>
        <w:rPr>
          <w:b/>
          <w:color w:val="006A78"/>
        </w:rPr>
        <w:t>~ </w:t>
      </w:r>
      <w:proofErr w:type="spellStart"/>
      <w:r>
        <w:rPr>
          <w:b/>
          <w:color w:val="006A78"/>
        </w:rPr>
        <w:t>Alvina</w:t>
      </w:r>
      <w:proofErr w:type="spellEnd"/>
      <w:r>
        <w:rPr>
          <w:b/>
          <w:color w:val="006A78"/>
        </w:rPr>
        <w:t xml:space="preserve"> Nadeem </w:t>
      </w:r>
    </w:p>
    <w:p w14:paraId="7A324D17" w14:textId="77777777" w:rsidR="00913230" w:rsidRDefault="00000000">
      <w:r>
        <w:t>La session s’est terminée par des réflexions sur la possibilité que l’IA serve de pont, et non de substitut, entre les patients et les prestataires de soins. Lorsqu’ils sont intégrés de manière réfléchie, les outils d’IA peuvent renforcer l’empathie, améliorer l’accès et aider les patients à comprendre non seulement les plans de soins, mais aussi leur perception d’eux-mêmes et de leur rôle dans un système de santé complexe.</w:t>
      </w:r>
    </w:p>
    <w:p w14:paraId="76C45274" w14:textId="77777777" w:rsidR="00913230" w:rsidRDefault="00000000">
      <w:pPr>
        <w:spacing w:before="240"/>
        <w:rPr>
          <w:color w:val="006A78"/>
          <w:u w:val="single"/>
        </w:rPr>
      </w:pPr>
      <w:hyperlink r:id="rId13">
        <w:r>
          <w:rPr>
            <w:color w:val="006A78"/>
            <w:u w:val="single"/>
          </w:rPr>
          <w:t>Voir l’enregistrement de la séance L’IA dans le parcours des patient-e-s – Expérience vécue et utilisation responsable de l’IA</w:t>
        </w:r>
      </w:hyperlink>
    </w:p>
    <w:p w14:paraId="649C29F1" w14:textId="77777777" w:rsidR="00913230" w:rsidRDefault="00000000">
      <w:pPr>
        <w:rPr>
          <w:rFonts w:ascii="Lato" w:eastAsia="Lato" w:hAnsi="Lato" w:cs="Lato"/>
          <w:b/>
          <w:color w:val="006A78"/>
          <w:sz w:val="36"/>
          <w:szCs w:val="36"/>
        </w:rPr>
      </w:pPr>
      <w:r>
        <w:br w:type="page"/>
      </w:r>
    </w:p>
    <w:p w14:paraId="560201DA" w14:textId="77777777" w:rsidR="00913230" w:rsidRDefault="00000000">
      <w:pPr>
        <w:pStyle w:val="Heading1"/>
      </w:pPr>
      <w:bookmarkStart w:id="6" w:name="_heading=h.shs25k4ygyyx" w:colFirst="0" w:colLast="0"/>
      <w:bookmarkEnd w:id="6"/>
      <w:r>
        <w:lastRenderedPageBreak/>
        <w:t>IA éthique, gouvernance des données et lignes directrices pour l’implication des patient-e-s</w:t>
      </w:r>
    </w:p>
    <w:p w14:paraId="260DF957" w14:textId="77777777" w:rsidR="00913230" w:rsidRDefault="00000000">
      <w:pPr>
        <w:rPr>
          <w:rFonts w:ascii="Lato" w:eastAsia="Lato" w:hAnsi="Lato" w:cs="Lato"/>
          <w:color w:val="00274A"/>
        </w:rPr>
      </w:pPr>
      <w:bookmarkStart w:id="7" w:name="_heading=h.o8r3xcavui3k" w:colFirst="0" w:colLast="0"/>
      <w:bookmarkEnd w:id="7"/>
      <w:r>
        <w:rPr>
          <w:color w:val="00274A"/>
        </w:rPr>
        <w:t>Présentateurs :</w:t>
      </w:r>
      <w:r>
        <w:rPr>
          <w:color w:val="00274A"/>
        </w:rPr>
        <w:br/>
      </w:r>
      <w:r>
        <w:rPr>
          <w:rFonts w:ascii="Lato" w:eastAsia="Lato" w:hAnsi="Lato" w:cs="Lato"/>
          <w:b/>
          <w:color w:val="00274A"/>
        </w:rPr>
        <w:t>Julia </w:t>
      </w:r>
      <w:proofErr w:type="spellStart"/>
      <w:r>
        <w:rPr>
          <w:rFonts w:ascii="Lato" w:eastAsia="Lato" w:hAnsi="Lato" w:cs="Lato"/>
          <w:b/>
          <w:color w:val="00274A"/>
        </w:rPr>
        <w:t>Wiercigroch</w:t>
      </w:r>
      <w:proofErr w:type="spellEnd"/>
      <w:r>
        <w:rPr>
          <w:rFonts w:ascii="Lato" w:eastAsia="Lato" w:hAnsi="Lato" w:cs="Lato"/>
          <w:color w:val="00274A"/>
        </w:rPr>
        <w:t xml:space="preserve">, chercheuse en ingénierie biomédicale, laboratoire </w:t>
      </w:r>
      <w:proofErr w:type="spellStart"/>
      <w:r>
        <w:rPr>
          <w:rFonts w:ascii="Lato" w:eastAsia="Lato" w:hAnsi="Lato" w:cs="Lato"/>
          <w:color w:val="00274A"/>
        </w:rPr>
        <w:t>Upstream</w:t>
      </w:r>
      <w:proofErr w:type="spellEnd"/>
      <w:r>
        <w:rPr>
          <w:rFonts w:ascii="Lato" w:eastAsia="Lato" w:hAnsi="Lato" w:cs="Lato"/>
          <w:color w:val="00274A"/>
        </w:rPr>
        <w:t xml:space="preserve"> | étudiante en médecine et au doctorat, Université de Toronto</w:t>
      </w:r>
      <w:r>
        <w:rPr>
          <w:color w:val="00274A"/>
        </w:rPr>
        <w:br/>
      </w:r>
      <w:proofErr w:type="spellStart"/>
      <w:r>
        <w:rPr>
          <w:rFonts w:ascii="Lato" w:eastAsia="Lato" w:hAnsi="Lato" w:cs="Lato"/>
          <w:b/>
          <w:color w:val="00274A"/>
        </w:rPr>
        <w:t>Parsa</w:t>
      </w:r>
      <w:proofErr w:type="spellEnd"/>
      <w:r>
        <w:rPr>
          <w:rFonts w:ascii="Lato" w:eastAsia="Lato" w:hAnsi="Lato" w:cs="Lato"/>
          <w:b/>
          <w:color w:val="00274A"/>
        </w:rPr>
        <w:t> </w:t>
      </w:r>
      <w:proofErr w:type="spellStart"/>
      <w:r>
        <w:rPr>
          <w:rFonts w:ascii="Lato" w:eastAsia="Lato" w:hAnsi="Lato" w:cs="Lato"/>
          <w:b/>
          <w:color w:val="00274A"/>
        </w:rPr>
        <w:t>Balalaie</w:t>
      </w:r>
      <w:proofErr w:type="spellEnd"/>
      <w:r>
        <w:rPr>
          <w:rFonts w:ascii="Lato" w:eastAsia="Lato" w:hAnsi="Lato" w:cs="Lato"/>
          <w:color w:val="00274A"/>
        </w:rPr>
        <w:t xml:space="preserve">, analyste de données de recherche, laboratoire </w:t>
      </w:r>
      <w:proofErr w:type="spellStart"/>
      <w:r>
        <w:rPr>
          <w:rFonts w:ascii="Lato" w:eastAsia="Lato" w:hAnsi="Lato" w:cs="Lato"/>
          <w:color w:val="00274A"/>
        </w:rPr>
        <w:t>Upstream</w:t>
      </w:r>
      <w:proofErr w:type="spellEnd"/>
    </w:p>
    <w:p w14:paraId="01233CBA" w14:textId="77777777" w:rsidR="00913230" w:rsidRDefault="00000000">
      <w:r>
        <w:t xml:space="preserve">Cette session a principalement porté sur l’intégration croissante de l’intelligence artificielle dans les soins de santé et a mis l’accent sur le besoin criant de surveillance éthique, de gouvernance des données et de mobilisation significative des patients. Animée par des chercheurs du </w:t>
      </w:r>
      <w:hyperlink r:id="rId14">
        <w:r>
          <w:rPr>
            <w:color w:val="0563C1"/>
            <w:u w:val="single"/>
          </w:rPr>
          <w:t xml:space="preserve">laboratoire </w:t>
        </w:r>
        <w:proofErr w:type="spellStart"/>
        <w:r>
          <w:rPr>
            <w:color w:val="0563C1"/>
            <w:u w:val="single"/>
          </w:rPr>
          <w:t>Upstream</w:t>
        </w:r>
        <w:proofErr w:type="spellEnd"/>
      </w:hyperlink>
      <w:r>
        <w:t xml:space="preserve"> (un laboratoire de recherche de l’Hôpital St. </w:t>
      </w:r>
      <w:proofErr w:type="spellStart"/>
      <w:r>
        <w:t>Michael’s</w:t>
      </w:r>
      <w:proofErr w:type="spellEnd"/>
      <w:r>
        <w:t>, à Toronto, en Ontario), la conversation a mis en lumière à la fois les promesses des outils d’IA et les lacunes systémiques dans l’inclusion (ou l’exclusion) des patients aux étapes de conception et de mise en œuvre de ces technologies.</w:t>
      </w:r>
    </w:p>
    <w:p w14:paraId="3FDD4EF0" w14:textId="77777777" w:rsidR="00913230" w:rsidRDefault="00000000">
      <w:proofErr w:type="spellStart"/>
      <w:r>
        <w:rPr>
          <w:b/>
        </w:rPr>
        <w:t>Parsa</w:t>
      </w:r>
      <w:proofErr w:type="spellEnd"/>
      <w:r>
        <w:rPr>
          <w:b/>
        </w:rPr>
        <w:t> </w:t>
      </w:r>
      <w:proofErr w:type="spellStart"/>
      <w:r>
        <w:rPr>
          <w:b/>
        </w:rPr>
        <w:t>Balalaie</w:t>
      </w:r>
      <w:proofErr w:type="spellEnd"/>
      <w:r>
        <w:t xml:space="preserve"> a ouvert la session en soulignant les avantages des outils d’IA, que ce soit en matière d’automatisation de la documentation clinique, d’identification des patients à risque ou d’aide à la prise de décisions dans le système de santé. Il a toutefois appelé à la prudence : de nombreux outils d’IA sont développés de manière isolée par des technologues, sans que les personnes les plus concernées, à savoir les patients et les cliniciens, aient vraiment leur mot à dire. Il a souligné le risque de préjugés et de méfiance du public lorsque le point de vue des patients n’est pas réellement pris en compte, et a décrit comment l’IA pourrait favoriser l’équité si elle était développée de manière collaborative et responsable.</w:t>
      </w:r>
    </w:p>
    <w:p w14:paraId="282A1CD7" w14:textId="77777777" w:rsidR="00913230" w:rsidRDefault="00000000">
      <w:pPr>
        <w:pBdr>
          <w:top w:val="nil"/>
          <w:left w:val="nil"/>
          <w:bottom w:val="nil"/>
          <w:right w:val="nil"/>
          <w:between w:val="nil"/>
        </w:pBdr>
        <w:jc w:val="center"/>
        <w:rPr>
          <w:color w:val="006A78"/>
        </w:rPr>
      </w:pPr>
      <w:r>
        <w:rPr>
          <w:i/>
          <w:color w:val="006A78"/>
        </w:rPr>
        <w:t xml:space="preserve">« Nous avons constaté que même si ces modèles sont conçus pour servir les patients, l’engagement de ces derniers dans leur développement est encore très rare. » </w:t>
      </w:r>
      <w:r>
        <w:rPr>
          <w:b/>
          <w:color w:val="006A78"/>
        </w:rPr>
        <w:t>~ </w:t>
      </w:r>
      <w:proofErr w:type="spellStart"/>
      <w:r>
        <w:rPr>
          <w:b/>
          <w:color w:val="006A78"/>
        </w:rPr>
        <w:t>Parsa</w:t>
      </w:r>
      <w:proofErr w:type="spellEnd"/>
      <w:r>
        <w:rPr>
          <w:b/>
          <w:color w:val="006A78"/>
        </w:rPr>
        <w:t> </w:t>
      </w:r>
      <w:proofErr w:type="spellStart"/>
      <w:r>
        <w:rPr>
          <w:b/>
          <w:color w:val="006A78"/>
        </w:rPr>
        <w:t>Balalaie</w:t>
      </w:r>
      <w:proofErr w:type="spellEnd"/>
      <w:r>
        <w:rPr>
          <w:b/>
          <w:color w:val="006A78"/>
        </w:rPr>
        <w:t xml:space="preserve"> </w:t>
      </w:r>
    </w:p>
    <w:p w14:paraId="72A12644" w14:textId="77777777" w:rsidR="00913230" w:rsidRDefault="00000000">
      <w:r>
        <w:rPr>
          <w:b/>
        </w:rPr>
        <w:t>Julia </w:t>
      </w:r>
      <w:proofErr w:type="spellStart"/>
      <w:r>
        <w:rPr>
          <w:b/>
        </w:rPr>
        <w:t>Wiercigroch</w:t>
      </w:r>
      <w:proofErr w:type="spellEnd"/>
      <w:r>
        <w:t xml:space="preserve"> a évoqué l’importance d’une mobilisation profonde et soutenue des patients à toutes les étapes du développement de l’IA. À partir d’un examen systématique de plus de 700 études, elle a constaté que seulement 5 % d’entre elles incluaient une forme quelconque de mobilisation des patients, et que la plupart le faisaient à un niveau minimal. </w:t>
      </w:r>
      <w:r>
        <w:lastRenderedPageBreak/>
        <w:t>M</w:t>
      </w:r>
      <w:r>
        <w:rPr>
          <w:vertAlign w:val="superscript"/>
        </w:rPr>
        <w:t>me</w:t>
      </w:r>
      <w:r>
        <w:t> </w:t>
      </w:r>
      <w:proofErr w:type="spellStart"/>
      <w:r>
        <w:t>Wiercigroch</w:t>
      </w:r>
      <w:proofErr w:type="spellEnd"/>
      <w:r>
        <w:t xml:space="preserve"> a insisté sur l’importance de la collaboration, de la responsabilisation et de l’impact, les trois piliers d’une mobilisation efficace des patients. Elle a fait part des résultats de groupes de discussion réunissant divers patients qui appuyaient massivement une participation dès le début des projets d’IA, y compris aux étapes de conception, d’essai et de diffusion des outils. Les patients ont demandé une mobilisation intentionnelle, diversifiée et non tacite, et ont souligné qu’une formation, des options de participation flexibles et une rémunération équitable étaient nécessaires.</w:t>
      </w:r>
    </w:p>
    <w:p w14:paraId="2B45E774" w14:textId="77777777" w:rsidR="00913230" w:rsidRDefault="00000000">
      <w:pPr>
        <w:pBdr>
          <w:top w:val="nil"/>
          <w:left w:val="nil"/>
          <w:bottom w:val="nil"/>
          <w:right w:val="nil"/>
          <w:between w:val="nil"/>
        </w:pBdr>
        <w:jc w:val="center"/>
        <w:rPr>
          <w:color w:val="006A78"/>
        </w:rPr>
      </w:pPr>
      <w:r>
        <w:rPr>
          <w:i/>
          <w:color w:val="006A78"/>
        </w:rPr>
        <w:t>« Nous avons demandé aux patients s’ils souhaitaient participer au développement de l’IA. La réponse a été un oui retentissant. Mais ils nous ont également demandé de le faire correctement : au début du processus, de manière significative et intentionnelle. »</w:t>
      </w:r>
      <w:r>
        <w:rPr>
          <w:color w:val="006A78"/>
        </w:rPr>
        <w:t xml:space="preserve"> </w:t>
      </w:r>
    </w:p>
    <w:p w14:paraId="33CD246F" w14:textId="77777777" w:rsidR="00913230" w:rsidRDefault="00000000">
      <w:pPr>
        <w:pBdr>
          <w:top w:val="nil"/>
          <w:left w:val="nil"/>
          <w:bottom w:val="nil"/>
          <w:right w:val="nil"/>
          <w:between w:val="nil"/>
        </w:pBdr>
        <w:jc w:val="center"/>
        <w:rPr>
          <w:color w:val="006A78"/>
        </w:rPr>
      </w:pPr>
      <w:r>
        <w:rPr>
          <w:b/>
          <w:color w:val="006A78"/>
        </w:rPr>
        <w:t>~ Julia </w:t>
      </w:r>
      <w:proofErr w:type="spellStart"/>
      <w:r>
        <w:rPr>
          <w:b/>
          <w:color w:val="006A78"/>
        </w:rPr>
        <w:t>Wiercigroch</w:t>
      </w:r>
      <w:proofErr w:type="spellEnd"/>
      <w:r>
        <w:rPr>
          <w:b/>
          <w:color w:val="006A78"/>
        </w:rPr>
        <w:t xml:space="preserve"> </w:t>
      </w:r>
    </w:p>
    <w:p w14:paraId="5FFB8140" w14:textId="77777777" w:rsidR="00913230" w:rsidRDefault="00000000">
      <w:r>
        <w:t xml:space="preserve">Pour guider les efforts futurs, le laboratoire </w:t>
      </w:r>
      <w:proofErr w:type="spellStart"/>
      <w:r>
        <w:t>Upstream</w:t>
      </w:r>
      <w:proofErr w:type="spellEnd"/>
      <w:r>
        <w:t xml:space="preserve"> a élaboré un </w:t>
      </w:r>
      <w:hyperlink r:id="rId15">
        <w:r>
          <w:rPr>
            <w:color w:val="0563C1"/>
            <w:u w:val="single"/>
          </w:rPr>
          <w:t>cadre de mobilisation</w:t>
        </w:r>
      </w:hyperlink>
      <w:r>
        <w:t xml:space="preserve"> (en anglais) pratique qui décrit le recrutement inclusif, les méthodes de mobilisation flexibles et l’évaluation continue. M. </w:t>
      </w:r>
      <w:proofErr w:type="spellStart"/>
      <w:r>
        <w:t>Balalaie</w:t>
      </w:r>
      <w:proofErr w:type="spellEnd"/>
      <w:r>
        <w:t xml:space="preserve"> a également présenté la plateforme « </w:t>
      </w:r>
      <w:proofErr w:type="spellStart"/>
      <w:r>
        <w:t>OurHealthData</w:t>
      </w:r>
      <w:proofErr w:type="spellEnd"/>
      <w:r>
        <w:t> » (nos données de santé), un outil conçu pour informer le public canadien de ses droits en matière d’utilisation des données et de gouvernance de l’IA, tout en faisant la promotion du partage des responsabilités entre les institutions.</w:t>
      </w:r>
    </w:p>
    <w:p w14:paraId="4E9A66AA" w14:textId="77777777" w:rsidR="00913230" w:rsidRDefault="00000000">
      <w:r>
        <w:t>La session s’est terminée sur un appel à ce que le développement de l’IA ne se fasse plus pour les patients, mais avec eux. Si nous intégrons l’équité, la transparence et la confiance à toutes les étapes, de la collecte des données à l’élaboration des politiques, l’IA peut devenir un outil véritablement axé sur la collaboration qui reflète les besoins des personnes qu’elle vise à servir et y répond.</w:t>
      </w:r>
    </w:p>
    <w:p w14:paraId="14616F9D" w14:textId="77777777" w:rsidR="00913230" w:rsidRDefault="00000000">
      <w:pPr>
        <w:spacing w:before="240"/>
        <w:rPr>
          <w:color w:val="006A78"/>
          <w:u w:val="single"/>
        </w:rPr>
      </w:pPr>
      <w:hyperlink r:id="rId16">
        <w:r>
          <w:rPr>
            <w:color w:val="006A78"/>
            <w:u w:val="single"/>
          </w:rPr>
          <w:t>Voir l’enregistrement de la session IA éthique, gouvernance des données et lignes directrices pour l’implication des patient-e-s</w:t>
        </w:r>
      </w:hyperlink>
    </w:p>
    <w:p w14:paraId="79038411" w14:textId="77777777" w:rsidR="00913230" w:rsidRDefault="00000000">
      <w:pPr>
        <w:rPr>
          <w:rFonts w:ascii="Lato" w:eastAsia="Lato" w:hAnsi="Lato" w:cs="Lato"/>
          <w:b/>
          <w:color w:val="006A78"/>
          <w:sz w:val="36"/>
          <w:szCs w:val="36"/>
        </w:rPr>
      </w:pPr>
      <w:bookmarkStart w:id="8" w:name="_heading=h.qhuw5rdaamj3" w:colFirst="0" w:colLast="0"/>
      <w:bookmarkEnd w:id="8"/>
      <w:r>
        <w:br w:type="page"/>
      </w:r>
    </w:p>
    <w:p w14:paraId="16EE7C8F" w14:textId="77777777" w:rsidR="00913230" w:rsidRDefault="00000000">
      <w:pPr>
        <w:pStyle w:val="Heading1"/>
      </w:pPr>
      <w:bookmarkStart w:id="9" w:name="_heading=h.r6n44gkzc516" w:colFirst="0" w:colLast="0"/>
      <w:bookmarkEnd w:id="9"/>
      <w:r>
        <w:lastRenderedPageBreak/>
        <w:t>Le crépuscule de la bioéthique? Les changements réglementaires et les données communes sur la santé au Canada</w:t>
      </w:r>
    </w:p>
    <w:p w14:paraId="562D4181" w14:textId="77777777" w:rsidR="00913230" w:rsidRDefault="00000000">
      <w:pPr>
        <w:pStyle w:val="Heading4"/>
        <w:spacing w:before="240"/>
        <w:rPr>
          <w:i w:val="0"/>
          <w:color w:val="00274A"/>
        </w:rPr>
      </w:pPr>
      <w:r>
        <w:rPr>
          <w:i w:val="0"/>
          <w:color w:val="00274A"/>
        </w:rPr>
        <w:t xml:space="preserve">Présentateur : </w:t>
      </w:r>
      <w:r>
        <w:rPr>
          <w:i w:val="0"/>
          <w:color w:val="00274A"/>
        </w:rPr>
        <w:br/>
      </w:r>
      <w:r>
        <w:rPr>
          <w:rFonts w:ascii="Lato" w:eastAsia="Lato" w:hAnsi="Lato" w:cs="Lato"/>
          <w:b/>
          <w:i w:val="0"/>
          <w:color w:val="00274A"/>
        </w:rPr>
        <w:t>Alexander Bernier</w:t>
      </w:r>
      <w:r>
        <w:rPr>
          <w:rFonts w:ascii="Lato" w:eastAsia="Lato" w:hAnsi="Lato" w:cs="Lato"/>
          <w:i w:val="0"/>
          <w:color w:val="00274A"/>
        </w:rPr>
        <w:t>, candidat au doctorat en sciences juridiques à la faculté de droit de l’Université de Toronto</w:t>
      </w:r>
    </w:p>
    <w:p w14:paraId="2136DD9D" w14:textId="77777777" w:rsidR="00913230" w:rsidRDefault="00000000">
      <w:r>
        <w:t xml:space="preserve">Cette session a abordé l’évolution du paysage de la réglementation des données sur la santé au Canada, en s’intéressant principalement à l’abandon croissant des cadres fondés sur l’éthique au profit des régimes de protection des données centralisés. </w:t>
      </w:r>
      <w:r>
        <w:rPr>
          <w:b/>
        </w:rPr>
        <w:t>Alexander Bernier</w:t>
      </w:r>
      <w:r>
        <w:t>, avocat et chercheur montréalais, a analysé les racines historiques du droit relatif à la protection la vie privée et les conséquences de ce changement, soulignant la nécessité de se doter de structures de gouvernance des données plus inclusives et locales.</w:t>
      </w:r>
    </w:p>
    <w:p w14:paraId="50E08B27" w14:textId="77777777" w:rsidR="00913230" w:rsidRDefault="00000000">
      <w:r>
        <w:t xml:space="preserve">La session s’est intéressée à la manière dont la gouvernance des données sur la santé au Canada délaisse de plus en plus les comités d’éthique institutionnels (CER) au profit d’une réglementation descendante adoptée par les commissaires à la protection de la vie privée. Il a expliqué que même si les lois sur la protection de la vie privée tentent de résoudre des problèmes réels, par exemple en aidant les différentes parties du système de santé à partager des données, elles vont parfois trop loin. En se concentrant uniquement sur la protection de la vie privée, ces lois pourraient décourager les gens d’utiliser les données, ce qui risque de ralentir des activités importantes comme la recherche en santé, l’équité et l’amélioration de la santé publique. Les lois sur la protection de la vie privée ne peuvent pas à elles seules régler toutes les questions éthiques, sociales et scientifiques qui se posent lorsque les données sur la santé sont utilisées à des fins de recherche ou de planification, par exemple. Il a souligné la nécessité de créer plutôt des groupes flexibles et inclusifs, comme les CER et les comités consultatifs public/patients, qui peuvent prendre des décisions au cas par cas et contribuer à trouver un équilibre entre les différentes priorités telles que la protection de la vie privée, le bien public et l’équité. </w:t>
      </w:r>
    </w:p>
    <w:p w14:paraId="51473D12" w14:textId="77777777" w:rsidR="00913230" w:rsidRDefault="00000000">
      <w:r>
        <w:lastRenderedPageBreak/>
        <w:t>S’appuyant sur des exemples canadiens et européens, M. Bernier a noté que les cadres actuels d’accès aux données restent très fragmentés. Sans coordination, les institutions continueront de prendre des décisions incohérentes qui nuisent aux recherches en santé collaboratives à grande échelle. Il s’est inquiété des risques d’octroyer un pouvoir réglementaire démesuré à des « organismes d’accès aux données » centralisés. Bien que leurs intentions soient bonnes, ces groupes n’ont souvent pas les connaissances locales ou la confiance de la collectivité nécessaires pour prendre des décisions complexes en matière de partage des données. Les lois actuelles en matière de protection de la vie privée ne peuvent pas suivre l’évolution rapide de technologies telles que l’IA, et il est nécessaire de mettre en place des systèmes de gouvernance des données qui sont flexibles, inclusifs et façonnés par l’expérience du monde réel.</w:t>
      </w:r>
    </w:p>
    <w:p w14:paraId="34FEB694" w14:textId="77777777" w:rsidR="00913230" w:rsidRDefault="00913230"/>
    <w:p w14:paraId="2AAF19D8" w14:textId="77777777" w:rsidR="00913230" w:rsidRDefault="00000000">
      <w:pPr>
        <w:pBdr>
          <w:top w:val="nil"/>
          <w:left w:val="nil"/>
          <w:bottom w:val="nil"/>
          <w:right w:val="nil"/>
          <w:between w:val="nil"/>
        </w:pBdr>
        <w:jc w:val="center"/>
        <w:rPr>
          <w:i/>
          <w:color w:val="006A78"/>
        </w:rPr>
      </w:pPr>
      <w:r>
        <w:rPr>
          <w:i/>
          <w:color w:val="006A78"/>
        </w:rPr>
        <w:t>« Nous avons besoin d’institutions où les gens peuvent avancer des arguments sur la vie privée, l’équité et l’utilité qui seront pesés et pris en considération, et pas seulement de mesures imposées à distance par des organismes de réglementation. »</w:t>
      </w:r>
    </w:p>
    <w:p w14:paraId="1A7F314A" w14:textId="77777777" w:rsidR="00913230" w:rsidRDefault="00000000">
      <w:pPr>
        <w:pBdr>
          <w:top w:val="nil"/>
          <w:left w:val="nil"/>
          <w:bottom w:val="nil"/>
          <w:right w:val="nil"/>
          <w:between w:val="nil"/>
        </w:pBdr>
        <w:jc w:val="center"/>
        <w:rPr>
          <w:b/>
          <w:color w:val="006A78"/>
        </w:rPr>
      </w:pPr>
      <w:r>
        <w:rPr>
          <w:b/>
          <w:color w:val="006A78"/>
        </w:rPr>
        <w:t>~ Alexander Bernier</w:t>
      </w:r>
    </w:p>
    <w:p w14:paraId="1C9291BE" w14:textId="77777777" w:rsidR="00913230" w:rsidRDefault="00000000">
      <w:r>
        <w:t>Au cours de la période de questions, les participants ont fait part de leurs préoccupations concernant les différences entre les lois et règlements des divers provinces et territoires, l’équité dans la gouvernance des données et la nécessité de mettre en place des processus véritablement inclusifs. M. Bernier a souligné que si les structures actuelles d’examen déontologique ne sont pas parfaites, elles parviennent mieux à réconcilier les différents points de vue que les lois sur la protection de la vie privée imposées par des instances supérieures. Il a martelé que le Canada devrait s’appuyer sur les forces de ses institutions existantes, donner aux CER et aux patients la possibilité de s’exprimer et mettre en place un processus décisionnel partagé à l’échelle du système de données.</w:t>
      </w:r>
    </w:p>
    <w:bookmarkStart w:id="10" w:name="_heading=h.ix4ozws9nedk" w:colFirst="0" w:colLast="0"/>
    <w:bookmarkEnd w:id="10"/>
    <w:p w14:paraId="3DEDDFCB" w14:textId="77777777" w:rsidR="00913230" w:rsidRDefault="00000000">
      <w:pPr>
        <w:spacing w:before="240"/>
        <w:rPr>
          <w:rFonts w:ascii="Lato" w:eastAsia="Lato" w:hAnsi="Lato" w:cs="Lato"/>
          <w:b/>
          <w:color w:val="006A78"/>
          <w:sz w:val="36"/>
          <w:szCs w:val="36"/>
        </w:rPr>
      </w:pPr>
      <w:r>
        <w:fldChar w:fldCharType="begin"/>
      </w:r>
      <w:r>
        <w:instrText>HYPERLINK "https://www.youtube.com/watch?v=SW3ELYXbvqc" \h</w:instrText>
      </w:r>
      <w:r>
        <w:fldChar w:fldCharType="separate"/>
      </w:r>
      <w:r>
        <w:rPr>
          <w:color w:val="006A78"/>
          <w:u w:val="single"/>
        </w:rPr>
        <w:t>Voir l’enregistrement de la session Les changements réglementaires et les données communes sur la santé au Canada</w:t>
      </w:r>
      <w:r>
        <w:rPr>
          <w:color w:val="006A78"/>
          <w:u w:val="single"/>
        </w:rPr>
        <w:fldChar w:fldCharType="end"/>
      </w:r>
      <w:r>
        <w:br w:type="page"/>
      </w:r>
    </w:p>
    <w:p w14:paraId="69AF4A4E" w14:textId="77777777" w:rsidR="00913230" w:rsidRDefault="00000000">
      <w:pPr>
        <w:pStyle w:val="Heading1"/>
      </w:pPr>
      <w:bookmarkStart w:id="11" w:name="_heading=h.lq9l4dl9dvgk" w:colFirst="0" w:colLast="0"/>
      <w:bookmarkEnd w:id="11"/>
      <w:r>
        <w:lastRenderedPageBreak/>
        <w:t>Encadrer nos relations : Conversations et considérations sur l’utilisation de l’IA dans les soins de santé et les principes de PCAP des Premières Nations</w:t>
      </w:r>
    </w:p>
    <w:p w14:paraId="04C29132" w14:textId="77777777" w:rsidR="00913230" w:rsidRDefault="00000000">
      <w:pPr>
        <w:pStyle w:val="Heading4"/>
        <w:spacing w:before="240" w:after="0"/>
        <w:rPr>
          <w:i w:val="0"/>
          <w:color w:val="00274A"/>
        </w:rPr>
      </w:pPr>
      <w:bookmarkStart w:id="12" w:name="_heading=h.mu9a4huipo7m" w:colFirst="0" w:colLast="0"/>
      <w:bookmarkEnd w:id="12"/>
      <w:r>
        <w:rPr>
          <w:i w:val="0"/>
          <w:color w:val="00274A"/>
        </w:rPr>
        <w:t>Présentatrices :</w:t>
      </w:r>
    </w:p>
    <w:p w14:paraId="3748CC22" w14:textId="77777777" w:rsidR="00913230" w:rsidRDefault="00000000">
      <w:pPr>
        <w:pStyle w:val="Heading4"/>
        <w:spacing w:after="0"/>
        <w:rPr>
          <w:rFonts w:ascii="Lato" w:eastAsia="Lato" w:hAnsi="Lato" w:cs="Lato"/>
          <w:b/>
          <w:i w:val="0"/>
          <w:color w:val="00274A"/>
        </w:rPr>
      </w:pPr>
      <w:proofErr w:type="spellStart"/>
      <w:r>
        <w:rPr>
          <w:rFonts w:ascii="Lato" w:eastAsia="Lato" w:hAnsi="Lato" w:cs="Lato"/>
          <w:b/>
          <w:i w:val="0"/>
          <w:color w:val="00274A"/>
        </w:rPr>
        <w:t>Skylee</w:t>
      </w:r>
      <w:proofErr w:type="spellEnd"/>
      <w:r>
        <w:rPr>
          <w:rFonts w:ascii="Lato" w:eastAsia="Lato" w:hAnsi="Lato" w:cs="Lato"/>
          <w:b/>
          <w:i w:val="0"/>
          <w:color w:val="00274A"/>
        </w:rPr>
        <w:t>-Storm Hogan-Stacey</w:t>
      </w:r>
      <w:r>
        <w:rPr>
          <w:rFonts w:ascii="Lato" w:eastAsia="Lato" w:hAnsi="Lato" w:cs="Lato"/>
          <w:i w:val="0"/>
          <w:color w:val="00274A"/>
        </w:rPr>
        <w:t>,</w:t>
      </w:r>
      <w:r>
        <w:rPr>
          <w:rFonts w:ascii="Lato" w:eastAsia="Lato" w:hAnsi="Lato" w:cs="Lato"/>
          <w:b/>
          <w:i w:val="0"/>
          <w:color w:val="00274A"/>
        </w:rPr>
        <w:t xml:space="preserve"> </w:t>
      </w:r>
      <w:r>
        <w:rPr>
          <w:rFonts w:ascii="Lato" w:eastAsia="Lato" w:hAnsi="Lato" w:cs="Lato"/>
          <w:i w:val="0"/>
          <w:color w:val="00274A"/>
        </w:rPr>
        <w:t>agente de recherche principale, études sur les données critiques (Centre de gouvernance de l’information des Premières Nations [CGIPN])</w:t>
      </w:r>
    </w:p>
    <w:p w14:paraId="7ECC0B31" w14:textId="77777777" w:rsidR="00913230" w:rsidRDefault="00000000">
      <w:pPr>
        <w:pStyle w:val="Heading4"/>
        <w:spacing w:after="0"/>
        <w:rPr>
          <w:rFonts w:ascii="Lato" w:eastAsia="Lato" w:hAnsi="Lato" w:cs="Lato"/>
          <w:b/>
          <w:i w:val="0"/>
          <w:color w:val="00274A"/>
        </w:rPr>
      </w:pPr>
      <w:r>
        <w:rPr>
          <w:rFonts w:ascii="Lato" w:eastAsia="Lato" w:hAnsi="Lato" w:cs="Lato"/>
          <w:b/>
          <w:i w:val="0"/>
          <w:color w:val="00274A"/>
        </w:rPr>
        <w:t>Julie McIntosh</w:t>
      </w:r>
      <w:r>
        <w:rPr>
          <w:rFonts w:ascii="Lato" w:eastAsia="Lato" w:hAnsi="Lato" w:cs="Lato"/>
          <w:i w:val="0"/>
          <w:color w:val="00274A"/>
        </w:rPr>
        <w:t>, responsable de la mobilisation des connaissances (CGIPN)</w:t>
      </w:r>
    </w:p>
    <w:p w14:paraId="74D644A5" w14:textId="77777777" w:rsidR="00913230" w:rsidRDefault="00000000">
      <w:pPr>
        <w:pStyle w:val="Heading4"/>
      </w:pPr>
      <w:r>
        <w:rPr>
          <w:rFonts w:ascii="Lato" w:eastAsia="Lato" w:hAnsi="Lato" w:cs="Lato"/>
          <w:b/>
          <w:i w:val="0"/>
          <w:color w:val="00274A"/>
        </w:rPr>
        <w:t>Savannah </w:t>
      </w:r>
      <w:proofErr w:type="spellStart"/>
      <w:r>
        <w:rPr>
          <w:rFonts w:ascii="Lato" w:eastAsia="Lato" w:hAnsi="Lato" w:cs="Lato"/>
          <w:b/>
          <w:i w:val="0"/>
          <w:color w:val="00274A"/>
        </w:rPr>
        <w:t>LaBelle</w:t>
      </w:r>
      <w:proofErr w:type="spellEnd"/>
      <w:r>
        <w:rPr>
          <w:rFonts w:ascii="Lato" w:eastAsia="Lato" w:hAnsi="Lato" w:cs="Lato"/>
          <w:i w:val="0"/>
          <w:color w:val="00274A"/>
        </w:rPr>
        <w:t>, coordonnatrice principale des projets de recherche (CGIPN)</w:t>
      </w:r>
    </w:p>
    <w:p w14:paraId="5B1452B8" w14:textId="77777777" w:rsidR="00913230" w:rsidRDefault="00000000">
      <w:r>
        <w:t>Cette dernière session a réuni des chercheuses du Centre de gouvernance de l’information des Premières Nations (CGIPN) qui ont abordé les considérations éthiques, culturelles et environnementales de l’utilisation de l’IA dans les soins de santé sous l’angle de la souveraineté des données des Premières Nations et des principes de PCAP® : propriété, contrôle, accès et possession. La discussion a souligné l’importance de veiller non seulement à ce que les collectivités des Premières Nations soient consultées, mais aussi à ce qu’elles soient les principaux décideurs en matière de collecte, de stockage, d’utilisation et d’interprétation de leurs données, en particulier à l’ère de l’IA.</w:t>
      </w:r>
    </w:p>
    <w:p w14:paraId="35B64286" w14:textId="77777777" w:rsidR="00913230" w:rsidRDefault="00000000">
      <w:r>
        <w:rPr>
          <w:b/>
        </w:rPr>
        <w:t>Savannah </w:t>
      </w:r>
      <w:proofErr w:type="spellStart"/>
      <w:r>
        <w:rPr>
          <w:b/>
        </w:rPr>
        <w:t>LaBelle</w:t>
      </w:r>
      <w:proofErr w:type="spellEnd"/>
      <w:r>
        <w:t xml:space="preserve"> a présenté la mission du CGIPN, qui consiste à aider les Premières Nations à atteindre la souveraineté en matière de données, conformément à leurs propres visions du monde, pratiques et priorités. Elle a décrit le vaste champ d’action du CGIPN, notamment les enquêtes nationales sur la santé, la recherche appliquée et les efforts de renforcement des capacités, tels que la formation sur les principes de PCAP®. </w:t>
      </w:r>
    </w:p>
    <w:p w14:paraId="2C22D4D0" w14:textId="77777777" w:rsidR="00913230" w:rsidRDefault="00000000">
      <w:proofErr w:type="spellStart"/>
      <w:r>
        <w:rPr>
          <w:b/>
        </w:rPr>
        <w:t>Skylee</w:t>
      </w:r>
      <w:proofErr w:type="spellEnd"/>
      <w:r>
        <w:rPr>
          <w:b/>
        </w:rPr>
        <w:t xml:space="preserve"> Storm Hogan-Stacey</w:t>
      </w:r>
      <w:r>
        <w:t xml:space="preserve"> a approfondi chacun des principes de PCAP®, en expliquant comment ils s’appliquent plus particulièrement aux données des Premières Nations, non seulement celles sur les individus, mais aussi celles sur la terre, l’eau et le savoir des collectivités. Elle a expliqué que si les données ouvertes sont souvent encouragées dans les domaines de la recherche et de l’IA, ce principe entre régulièrement en conflit avec le droit des Premières Nations de contrôler et de protéger leurs propres renseignements.</w:t>
      </w:r>
    </w:p>
    <w:p w14:paraId="4F4B0A00" w14:textId="77777777" w:rsidR="00913230" w:rsidRDefault="00913230"/>
    <w:p w14:paraId="0CCB850F" w14:textId="77777777" w:rsidR="00913230" w:rsidRDefault="00000000">
      <w:pPr>
        <w:pBdr>
          <w:top w:val="nil"/>
          <w:left w:val="nil"/>
          <w:bottom w:val="nil"/>
          <w:right w:val="nil"/>
          <w:between w:val="nil"/>
        </w:pBdr>
        <w:jc w:val="center"/>
        <w:rPr>
          <w:color w:val="006A78"/>
        </w:rPr>
      </w:pPr>
      <w:r>
        <w:rPr>
          <w:i/>
          <w:color w:val="006A78"/>
        </w:rPr>
        <w:t>« Nous ne devons pas nous intéresser uniquement aux lois élaborées pour les Canadiens. Les Premières Nations sont titulaires de droits en vertu de l’article 35 (</w:t>
      </w:r>
      <w:r>
        <w:rPr>
          <w:color w:val="006A78"/>
        </w:rPr>
        <w:t>Loi constitutionnelle de 1982</w:t>
      </w:r>
      <w:r>
        <w:rPr>
          <w:i/>
          <w:color w:val="006A78"/>
        </w:rPr>
        <w:t xml:space="preserve">). Elles ont leurs propres priorités, valeurs et lois. » </w:t>
      </w:r>
      <w:r>
        <w:rPr>
          <w:i/>
          <w:color w:val="006A78"/>
        </w:rPr>
        <w:br/>
      </w:r>
      <w:r>
        <w:rPr>
          <w:b/>
          <w:color w:val="006A78"/>
        </w:rPr>
        <w:t>~ </w:t>
      </w:r>
      <w:proofErr w:type="spellStart"/>
      <w:r>
        <w:rPr>
          <w:b/>
          <w:color w:val="006A78"/>
        </w:rPr>
        <w:t>Skylee</w:t>
      </w:r>
      <w:proofErr w:type="spellEnd"/>
      <w:r>
        <w:rPr>
          <w:b/>
          <w:color w:val="006A78"/>
        </w:rPr>
        <w:t xml:space="preserve"> Storm Hogan-Stacey</w:t>
      </w:r>
    </w:p>
    <w:p w14:paraId="76BC48DE" w14:textId="77777777" w:rsidR="00913230" w:rsidRDefault="00000000">
      <w:r>
        <w:rPr>
          <w:b/>
        </w:rPr>
        <w:t>Julie McIntosh</w:t>
      </w:r>
      <w:r>
        <w:t xml:space="preserve"> a invité les participants à réfléchir aux implications de l’IA en utilisant des exercices interactifs sur </w:t>
      </w:r>
      <w:proofErr w:type="spellStart"/>
      <w:r>
        <w:t>Slido</w:t>
      </w:r>
      <w:proofErr w:type="spellEnd"/>
      <w:r>
        <w:t xml:space="preserve"> à propos des éléments qui influent sur la mise en œuvre des principes de PCAP® : la propriété des données, l’accès aux données sur la santé et la protection des données. Les présentatrices ont exprimé des inquiétudes quant à l’utilisation de plateformes d’IA de tiers et aux implications éthiques du stockage des données sur la santé des Autochtones sur des serveurs en nuage, surtout en sachant que certaines communautés ne disposent pas de l’infrastructure nécessaire pour contrôler leurs propres données au niveau local. La session s’est également intéressée à l’incidence du vocabulaire, du contexte culturel et des traumatismes historiques sur les expériences des Autochtones en matière de soins de santé et de technologies, soulignant la nécessité de concevoir des solutions d’IA propres aux collectivités qui sont culturellement pertinentes et gouvernées de manière transparente et auxquelles il est possible de s’inscrire et de se désinscrire.</w:t>
      </w:r>
    </w:p>
    <w:p w14:paraId="3044643C" w14:textId="77777777" w:rsidR="00913230" w:rsidRDefault="00000000">
      <w:r>
        <w:rPr>
          <w:b/>
        </w:rPr>
        <w:t>Maria Santos</w:t>
      </w:r>
      <w:r>
        <w:t xml:space="preserve"> a fait le point sur le déploiement de la stratégie nationale de gouvernance des données du CGIPN, en soulignant que les Premières Nations, et non le CGIPN, sont les détenteurs des droits et doivent rester maîtres des décisions en matière de gouvernance. Cette stratégie vise à aider les collectivités à se doter des outils, des connaissances et des pouvoirs décisionnels nécessaires pour gérer leurs propres données. Des projets pilotes dans différentes régions explorent cette possibilité et montrent comment la gouvernance des données administrée par les Premières Nations peut fonctionner en pratique.</w:t>
      </w:r>
    </w:p>
    <w:p w14:paraId="4AC627BD" w14:textId="77777777" w:rsidR="00913230" w:rsidRDefault="00000000">
      <w:r>
        <w:t xml:space="preserve">Pendant la période de questions, les expertes ont répondu aux questions de participants très inquiets à propos des systèmes d’IA formés à partir de données biaisées ou peu fidèles, qui peuvent conduire à la propagation et au renforcement de stéréotypes préjudiciables. Elles ont également souligné l’impact environnemental de l’IA, en particulier les grandes quantités de terrains et d’eau utilisées par les centres de données. Parallèlement, elles ont mentionné </w:t>
      </w:r>
      <w:r>
        <w:lastRenderedPageBreak/>
        <w:t>certains débouchés positifs, comme l’utilisation d’outils d’IA pour aider à ressusciter les langues autochtones ou pour offrir de la compagnie aux personnes autochtones vivant en milieu urbain qui peuvent se sentir isolées de leur collectivité.</w:t>
      </w:r>
    </w:p>
    <w:p w14:paraId="2EEF649D" w14:textId="77777777" w:rsidR="00913230" w:rsidRDefault="00000000">
      <w:pPr>
        <w:pBdr>
          <w:top w:val="nil"/>
          <w:left w:val="nil"/>
          <w:bottom w:val="nil"/>
          <w:right w:val="nil"/>
          <w:between w:val="nil"/>
        </w:pBdr>
        <w:jc w:val="center"/>
        <w:rPr>
          <w:color w:val="006A78"/>
        </w:rPr>
      </w:pPr>
      <w:r>
        <w:rPr>
          <w:i/>
          <w:color w:val="006A78"/>
        </w:rPr>
        <w:t xml:space="preserve">« Les informations trompeuses sèment une réelle inquiétude chez beaucoup de gens. De nombreuses personnes sont également préoccupées par la sous-représentation des Autochtones dans la conception de ces grands modèles de langage (GML) et de l’IA en général. Elles craignent que cette sous-représentation entraîne encore plus de discrimination et de préjugés dans les modèles. »               </w:t>
      </w:r>
      <w:r>
        <w:rPr>
          <w:i/>
          <w:color w:val="006A78"/>
        </w:rPr>
        <w:br/>
        <w:t xml:space="preserve"> </w:t>
      </w:r>
      <w:r>
        <w:rPr>
          <w:b/>
          <w:color w:val="006A78"/>
        </w:rPr>
        <w:t>~ </w:t>
      </w:r>
      <w:proofErr w:type="spellStart"/>
      <w:r>
        <w:rPr>
          <w:b/>
          <w:color w:val="006A78"/>
        </w:rPr>
        <w:t>Skylee</w:t>
      </w:r>
      <w:proofErr w:type="spellEnd"/>
      <w:r>
        <w:rPr>
          <w:b/>
          <w:color w:val="006A78"/>
        </w:rPr>
        <w:t xml:space="preserve"> Storm Hogan-Stacey</w:t>
      </w:r>
    </w:p>
    <w:p w14:paraId="30F3A48B" w14:textId="77777777" w:rsidR="00913230" w:rsidRDefault="00000000">
      <w:r>
        <w:t>La session s’est terminée sur un message clair : l’IA doit être créée avec les collectivités autochtones, et pas seulement pour elles. Cela signifie qu’il faut établir des relations à long terme, concevoir les technologies ensemble, de manière respectueuse et éthique, ainsi que prioriser le leadership et le contrôle des Autochtones sur leurs propres outils et données numériques et investir dans ces domaines.</w:t>
      </w:r>
    </w:p>
    <w:p w14:paraId="0DFC233E" w14:textId="77777777" w:rsidR="00913230" w:rsidRDefault="00913230">
      <w:pPr>
        <w:rPr>
          <w:color w:val="006A78"/>
          <w:u w:val="single"/>
        </w:rPr>
      </w:pPr>
    </w:p>
    <w:p w14:paraId="1CE0C496" w14:textId="77777777" w:rsidR="00913230" w:rsidRDefault="00000000">
      <w:r>
        <w:br w:type="page"/>
      </w:r>
    </w:p>
    <w:p w14:paraId="75E277C5" w14:textId="77777777" w:rsidR="00913230" w:rsidRDefault="00000000">
      <w:pPr>
        <w:pStyle w:val="Heading1"/>
      </w:pPr>
      <w:bookmarkStart w:id="13" w:name="_heading=h.81umb7smsvb2" w:colFirst="0" w:colLast="0"/>
      <w:bookmarkEnd w:id="13"/>
      <w:r>
        <w:lastRenderedPageBreak/>
        <w:t>Réflexions et perspectives</w:t>
      </w:r>
    </w:p>
    <w:p w14:paraId="0C19B323" w14:textId="77777777" w:rsidR="00913230" w:rsidRDefault="00000000">
      <w:r>
        <w:t xml:space="preserve">Le forum </w:t>
      </w:r>
      <w:r>
        <w:rPr>
          <w:i/>
        </w:rPr>
        <w:t>Des données de santé pour toutes et tous : le rôle de l’IA dans la santé</w:t>
      </w:r>
      <w:r>
        <w:t xml:space="preserve"> a créé un espace de dialogue entre les membres du public et les patients partenaires, les chercheurs, les experts en technologie, les dirigeants autochtones et d’autres parties prenantes pour réfléchir à la manière dont l’IA façonne l’avenir des soins de santé et des systèmes de données au Canada. Dans le cadre de tables rondes, de récits d’expériences vécues et de points de vue d’experts, les discussions qui ont eu lieu tout au long de la journée ont mis en lumière les promesses et les risques associés à l’IA. Les participants ont souligné la nécessité d’adopter des approches inclusives, éthiques et axées sur les collectivités en matière d’innovation en santé et d’intégration des technologies dans les systèmes de santé canadiens. Le format hybride a permis une large participation et un dialogue constructif entre les participants de toutes les régions, disciplines et collectivités.</w:t>
      </w:r>
    </w:p>
    <w:p w14:paraId="50F9EEDA" w14:textId="77777777" w:rsidR="00913230" w:rsidRDefault="00000000">
      <w:r>
        <w:t>Des thèmes importants sont ressortis du forum, et le RRDS Canada, y compris le Groupe de travail sur les activités de mobilisation du grand public et le conseil consultatif public, continuera d’explorer les enjeux à la croisée de l’IA, des données sur la santé et de l’équité en matière de santé. Ces thèmes sont notamment l’importance de favoriser les applications éthiques de l’IA dans les soins de santé, de veiller à ce que les technologies réduisent considérablement les charges de travail sans créer de nouvelles pressions, de promouvoir un accès équitable et des outils fondés sur la culture, d’intégrer la transparence, la confiance et la participation des collectivités dans le développement de l’IA et de renforcer les modèles de gouvernance inclusifs qui tiennent compte des expériences vécues.</w:t>
      </w:r>
    </w:p>
    <w:p w14:paraId="1F4CF052" w14:textId="77777777" w:rsidR="00913230" w:rsidRDefault="00000000">
      <w:r>
        <w:t xml:space="preserve">Au fur et à mesure que progresseront les travaux du RRDS Canada, le Groupe de travail sur les activités de mobilisation du grand public et le conseil consultatif public (CCP) s’engagent à mettre l’accent sur les thèmes qui sont ressortis du forum (voir la liste complète ci-dessous). Il importe notamment de favoriser les applications éthiques de l’IA dans les soins de santé, de veiller à ce que les technologies réduisent considérablement les charges de travail sans créer de nouvelles pressions, de promouvoir un accès équitable et des outils fondés sur la culture, d’intégrer la transparence, la confiance et la participation des collectivités dans le </w:t>
      </w:r>
      <w:r>
        <w:lastRenderedPageBreak/>
        <w:t xml:space="preserve">développement de l’IA et de renforcer les modèles de gouvernance inclusifs qui sont sensibles aux expériences vécues. </w:t>
      </w:r>
    </w:p>
    <w:p w14:paraId="65AC4C6F" w14:textId="77777777" w:rsidR="00913230" w:rsidRDefault="00000000">
      <w:r>
        <w:t xml:space="preserve">Tout au long de la journée, les invités et les participants ont rappelé que l’IA et les technologies émergentes doivent être développées en collaboration avec le public, les patients, les collectivités autochtones et les groupes sous-représentés de manière systémique afin de garantir qu’elles servent le public de façon utile. Ces prises de conscience sont essentielles pour renforcer la confiance du public et créer un environnement de données sur la santé inclusif. </w:t>
      </w:r>
    </w:p>
    <w:p w14:paraId="1DFD2594" w14:textId="77777777" w:rsidR="00913230" w:rsidRDefault="00000000">
      <w:r>
        <w:t>À l’avenir, le Groupe de travail sur les activités de mobilisation du grand public et le CCP travailleront en étroite collaboration avec d’autres équipes et groupes de travail du RRDS Canada afin de traduire les conclusions du forum en stratégies concrètes. Ces collaborations contribueront à garantir que nos travaux futurs seront axés sur le renforcement de la mobilisation du public et sur la création d’un avenir plus éthique et inclusif pour les données sur la santé et l’IA au Canada qui répond aux besoins et aux priorités du public.</w:t>
      </w:r>
      <w:r>
        <w:br w:type="page"/>
      </w:r>
    </w:p>
    <w:p w14:paraId="13975DC9" w14:textId="77777777" w:rsidR="00913230" w:rsidRDefault="00000000">
      <w:pPr>
        <w:pStyle w:val="Heading2"/>
      </w:pPr>
      <w:bookmarkStart w:id="14" w:name="_heading=h.swxz9rm3gf7g" w:colFirst="0" w:colLast="0"/>
      <w:bookmarkEnd w:id="14"/>
      <w:r>
        <w:lastRenderedPageBreak/>
        <w:t>Des données de santé pour toutes et tous : thèmes clés et réflexions</w:t>
      </w:r>
    </w:p>
    <w:p w14:paraId="30F59248" w14:textId="77777777" w:rsidR="00913230" w:rsidRDefault="00000000">
      <w:pPr>
        <w:rPr>
          <w:b/>
        </w:rPr>
      </w:pPr>
      <w:r>
        <w:rPr>
          <w:b/>
        </w:rPr>
        <w:t xml:space="preserve">Favoriser les applications éthiques de l’IA dans les soins de santé : </w:t>
      </w:r>
      <w:r>
        <w:t>Comment les outils d’IA peuvent-ils être mis en œuvre de manière à améliorer les soins tout en préservant la sécurité, l’équité et la responsabilité?</w:t>
      </w:r>
    </w:p>
    <w:p w14:paraId="57F998B7" w14:textId="77777777" w:rsidR="00913230" w:rsidRDefault="00000000">
      <w:pPr>
        <w:rPr>
          <w:b/>
        </w:rPr>
      </w:pPr>
      <w:r>
        <w:rPr>
          <w:b/>
        </w:rPr>
        <w:t xml:space="preserve">Réduire les charges de travail sans créer de nouveaux obstacles : </w:t>
      </w:r>
      <w:r>
        <w:t>Quelles sont les mesures nécessaires pour que l’IA diminue la charge de travail des cliniciens et des patients sans les submerger de nouvelles attentes ou réduire la qualité des soins?</w:t>
      </w:r>
    </w:p>
    <w:p w14:paraId="1D64860A" w14:textId="77777777" w:rsidR="00913230" w:rsidRDefault="00000000">
      <w:r>
        <w:rPr>
          <w:b/>
        </w:rPr>
        <w:t xml:space="preserve">Favoriser l’équité et la sécurité culturelle en IA : </w:t>
      </w:r>
      <w:r>
        <w:t>Quelles sont les étapes et les lignes directrices nécessaires pour que les modèles et les outils d’IA soient équitables, accessibles et inclusifs et qu’ils reflètent les besoins culturels et contextuels des diverses collectivités?</w:t>
      </w:r>
    </w:p>
    <w:p w14:paraId="3476F424" w14:textId="77777777" w:rsidR="00913230" w:rsidRDefault="00000000">
      <w:r>
        <w:rPr>
          <w:b/>
        </w:rPr>
        <w:t xml:space="preserve">Développer une IA digne de confiance et axée sur les collectivités : </w:t>
      </w:r>
      <w:r>
        <w:t>Quels sont les cadres nécessaires pour intégrer l’ouverture, la collaboration et la responsabilité dans le développement de l’IA afin de gagner et de conserver la confiance du public? De tels cadres existent-ils déjà?</w:t>
      </w:r>
    </w:p>
    <w:p w14:paraId="5280DFFE" w14:textId="77777777" w:rsidR="00913230" w:rsidRDefault="00000000">
      <w:r>
        <w:rPr>
          <w:b/>
        </w:rPr>
        <w:t xml:space="preserve">Intégrer les expériences vécues dans la gouvernance : </w:t>
      </w:r>
      <w:r>
        <w:t>Quel rôle pouvons-nous jouer pour renforcer les modèles de gouvernance afin qu’ils tiennent compte des expériences vécues et qu’ils favorisent la prise de décisions collaboratives au sein des réseaux et des collectivités?</w:t>
      </w:r>
    </w:p>
    <w:p w14:paraId="351E0816" w14:textId="77777777" w:rsidR="00913230" w:rsidRDefault="00000000">
      <w:r>
        <w:rPr>
          <w:b/>
        </w:rPr>
        <w:t xml:space="preserve">Soutenir l’utilisation des données autochtones par les Autochtones pour faire avancer la réconciliation : </w:t>
      </w:r>
      <w:r>
        <w:t>Comment pouvons-nous contribuer à l’avancement et à la priorisation des initiatives de souveraineté des données menées par les Autochtones, surtout en matière d’utilisation des données autochtones dans l’IA?</w:t>
      </w:r>
    </w:p>
    <w:p w14:paraId="5C2914A6" w14:textId="77777777" w:rsidR="00913230" w:rsidRDefault="00913230"/>
    <w:sectPr w:rsidR="00913230">
      <w:headerReference w:type="even" r:id="rId17"/>
      <w:headerReference w:type="default" r:id="rId18"/>
      <w:footerReference w:type="even" r:id="rId19"/>
      <w:footerReference w:type="default" r:id="rId20"/>
      <w:headerReference w:type="first" r:id="rId21"/>
      <w:footerReference w:type="first" r:id="rId22"/>
      <w:pgSz w:w="12240" w:h="15840"/>
      <w:pgMar w:top="1440" w:right="1080" w:bottom="144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1BC01A" w14:textId="77777777" w:rsidR="009B0B4F" w:rsidRDefault="009B0B4F">
      <w:pPr>
        <w:spacing w:after="0" w:line="240" w:lineRule="auto"/>
      </w:pPr>
      <w:r>
        <w:separator/>
      </w:r>
    </w:p>
  </w:endnote>
  <w:endnote w:type="continuationSeparator" w:id="0">
    <w:p w14:paraId="4A9ADEFC" w14:textId="77777777" w:rsidR="009B0B4F" w:rsidRDefault="009B0B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panose1 w:val="020F0502020204030203"/>
    <w:charset w:val="4D"/>
    <w:family w:val="swiss"/>
    <w:pitch w:val="variable"/>
    <w:sig w:usb0="800000AF" w:usb1="4000604A"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3B91B3" w14:textId="77777777" w:rsidR="00913230" w:rsidRDefault="00000000">
    <w:pPr>
      <w:jc w:val="right"/>
    </w:pPr>
    <w:r>
      <w:fldChar w:fldCharType="begin"/>
    </w:r>
    <w:r>
      <w:instrText>PAGE</w:instrText>
    </w:r>
    <w:r>
      <w:fldChar w:fldCharType="separate"/>
    </w:r>
    <w:r>
      <w:fldChar w:fldCharType="end"/>
    </w:r>
  </w:p>
  <w:p w14:paraId="2C517FA2" w14:textId="77777777" w:rsidR="00913230" w:rsidRDefault="00913230">
    <w:pPr>
      <w:ind w:right="360" w:firstLine="360"/>
    </w:pPr>
  </w:p>
  <w:p w14:paraId="4D9A2A37" w14:textId="77777777" w:rsidR="00913230" w:rsidRDefault="0091323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7BD06" w14:textId="77777777" w:rsidR="00913230" w:rsidRDefault="00000000">
    <w:pPr>
      <w:ind w:right="360" w:firstLine="360"/>
    </w:pPr>
    <w:r>
      <w:rPr>
        <w:noProof/>
      </w:rPr>
      <w:drawing>
        <wp:anchor distT="0" distB="0" distL="114300" distR="114300" simplePos="0" relativeHeight="251658240" behindDoc="0" locked="0" layoutInCell="1" hidden="0" allowOverlap="1" wp14:anchorId="465EBA90" wp14:editId="3B2804A6">
          <wp:simplePos x="0" y="0"/>
          <wp:positionH relativeFrom="column">
            <wp:posOffset>-98057</wp:posOffset>
          </wp:positionH>
          <wp:positionV relativeFrom="paragraph">
            <wp:posOffset>58418</wp:posOffset>
          </wp:positionV>
          <wp:extent cx="3164840" cy="822960"/>
          <wp:effectExtent l="0" t="0" r="0" b="0"/>
          <wp:wrapSquare wrapText="bothSides" distT="0" distB="0" distL="114300" distR="114300"/>
          <wp:docPr id="1903986550"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1"/>
                  <a:srcRect l="5505" r="3236"/>
                  <a:stretch>
                    <a:fillRect/>
                  </a:stretch>
                </pic:blipFill>
                <pic:spPr>
                  <a:xfrm>
                    <a:off x="0" y="0"/>
                    <a:ext cx="3164840" cy="822960"/>
                  </a:xfrm>
                  <a:prstGeom prst="rect">
                    <a:avLst/>
                  </a:prstGeom>
                  <a:ln/>
                </pic:spPr>
              </pic:pic>
            </a:graphicData>
          </a:graphic>
        </wp:anchor>
      </w:drawing>
    </w:r>
  </w:p>
  <w:p w14:paraId="149B511F" w14:textId="77777777" w:rsidR="00913230" w:rsidRDefault="00000000">
    <w:pPr>
      <w:jc w:val="right"/>
    </w:pPr>
    <w:r>
      <w:fldChar w:fldCharType="begin"/>
    </w:r>
    <w:r>
      <w:instrText>PAGE</w:instrText>
    </w:r>
    <w:r>
      <w:fldChar w:fldCharType="separate"/>
    </w:r>
    <w:r w:rsidR="00D4689A">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9B012" w14:textId="77777777" w:rsidR="00913230" w:rsidRDefault="00000000">
    <w:r>
      <w:rPr>
        <w:noProof/>
      </w:rPr>
      <mc:AlternateContent>
        <mc:Choice Requires="wpg">
          <w:drawing>
            <wp:anchor distT="0" distB="0" distL="0" distR="0" simplePos="0" relativeHeight="251659264" behindDoc="1" locked="0" layoutInCell="1" hidden="0" allowOverlap="1" wp14:anchorId="09472215" wp14:editId="08F347F0">
              <wp:simplePos x="0" y="0"/>
              <wp:positionH relativeFrom="column">
                <wp:posOffset>-2108198</wp:posOffset>
              </wp:positionH>
              <wp:positionV relativeFrom="paragraph">
                <wp:posOffset>-342898</wp:posOffset>
              </wp:positionV>
              <wp:extent cx="9334500" cy="3385185"/>
              <wp:effectExtent l="0" t="0" r="0" b="0"/>
              <wp:wrapNone/>
              <wp:docPr id="1903986549" name="Group 1903986549"/>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1974211130" name="Group 1974211130"/>
                      <wpg:cNvGrpSpPr/>
                      <wpg:grpSpPr>
                        <a:xfrm>
                          <a:off x="678750" y="2087408"/>
                          <a:ext cx="9334500" cy="3385185"/>
                          <a:chOff x="678750" y="2087400"/>
                          <a:chExt cx="9334500" cy="3385200"/>
                        </a:xfrm>
                      </wpg:grpSpPr>
                      <wps:wsp>
                        <wps:cNvPr id="47142719" name="Rectangle 47142719"/>
                        <wps:cNvSpPr/>
                        <wps:spPr>
                          <a:xfrm>
                            <a:off x="678750" y="2087400"/>
                            <a:ext cx="9334500" cy="3385200"/>
                          </a:xfrm>
                          <a:prstGeom prst="rect">
                            <a:avLst/>
                          </a:prstGeom>
                          <a:noFill/>
                          <a:ln>
                            <a:noFill/>
                          </a:ln>
                        </wps:spPr>
                        <wps:txbx>
                          <w:txbxContent>
                            <w:p w14:paraId="7AFA6B91" w14:textId="77777777" w:rsidR="00913230" w:rsidRDefault="00913230">
                              <w:pPr>
                                <w:spacing w:after="0" w:line="240" w:lineRule="auto"/>
                                <w:textDirection w:val="btLr"/>
                              </w:pPr>
                            </w:p>
                          </w:txbxContent>
                        </wps:txbx>
                        <wps:bodyPr spcFirstLastPara="1" wrap="square" lIns="91425" tIns="91425" rIns="91425" bIns="91425" anchor="ctr" anchorCtr="0">
                          <a:noAutofit/>
                        </wps:bodyPr>
                      </wps:wsp>
                      <wpg:grpSp>
                        <wpg:cNvPr id="1044588765" name="Group 1044588765"/>
                        <wpg:cNvGrpSpPr/>
                        <wpg:grpSpPr>
                          <a:xfrm>
                            <a:off x="678750" y="2087408"/>
                            <a:ext cx="9334500" cy="3385185"/>
                            <a:chOff x="678750" y="2087400"/>
                            <a:chExt cx="9334500" cy="3385200"/>
                          </a:xfrm>
                        </wpg:grpSpPr>
                        <wps:wsp>
                          <wps:cNvPr id="92503695" name="Rectangle 92503695"/>
                          <wps:cNvSpPr/>
                          <wps:spPr>
                            <a:xfrm>
                              <a:off x="678750" y="2087400"/>
                              <a:ext cx="9334500" cy="3385200"/>
                            </a:xfrm>
                            <a:prstGeom prst="rect">
                              <a:avLst/>
                            </a:prstGeom>
                            <a:noFill/>
                            <a:ln>
                              <a:noFill/>
                            </a:ln>
                          </wps:spPr>
                          <wps:txbx>
                            <w:txbxContent>
                              <w:p w14:paraId="64B72AE1" w14:textId="77777777" w:rsidR="00913230" w:rsidRDefault="00913230">
                                <w:pPr>
                                  <w:spacing w:after="0" w:line="240" w:lineRule="auto"/>
                                  <w:textDirection w:val="btLr"/>
                                </w:pPr>
                              </w:p>
                            </w:txbxContent>
                          </wps:txbx>
                          <wps:bodyPr spcFirstLastPara="1" wrap="square" lIns="91425" tIns="91425" rIns="91425" bIns="91425" anchor="ctr" anchorCtr="0">
                            <a:noAutofit/>
                          </wps:bodyPr>
                        </wps:wsp>
                        <wpg:grpSp>
                          <wpg:cNvPr id="1640892071" name="Group 1640892071"/>
                          <wpg:cNvGrpSpPr/>
                          <wpg:grpSpPr>
                            <a:xfrm>
                              <a:off x="678750" y="2087408"/>
                              <a:ext cx="9334500" cy="3385185"/>
                              <a:chOff x="678750" y="2087400"/>
                              <a:chExt cx="9334500" cy="3385200"/>
                            </a:xfrm>
                          </wpg:grpSpPr>
                          <wps:wsp>
                            <wps:cNvPr id="2052225018" name="Rectangle 2052225018"/>
                            <wps:cNvSpPr/>
                            <wps:spPr>
                              <a:xfrm>
                                <a:off x="678750" y="2087400"/>
                                <a:ext cx="9334500" cy="3385200"/>
                              </a:xfrm>
                              <a:prstGeom prst="rect">
                                <a:avLst/>
                              </a:prstGeom>
                              <a:noFill/>
                              <a:ln>
                                <a:noFill/>
                              </a:ln>
                            </wps:spPr>
                            <wps:txbx>
                              <w:txbxContent>
                                <w:p w14:paraId="0CD2337D" w14:textId="77777777" w:rsidR="00913230" w:rsidRDefault="00913230">
                                  <w:pPr>
                                    <w:spacing w:after="0" w:line="240" w:lineRule="auto"/>
                                    <w:textDirection w:val="btLr"/>
                                  </w:pPr>
                                </w:p>
                              </w:txbxContent>
                            </wps:txbx>
                            <wps:bodyPr spcFirstLastPara="1" wrap="square" lIns="91425" tIns="91425" rIns="91425" bIns="91425" anchor="ctr" anchorCtr="0">
                              <a:noAutofit/>
                            </wps:bodyPr>
                          </wps:wsp>
                          <wpg:grpSp>
                            <wpg:cNvPr id="188125388" name="Group 188125388"/>
                            <wpg:cNvGrpSpPr/>
                            <wpg:grpSpPr>
                              <a:xfrm rot="10800000">
                                <a:off x="678750" y="2087408"/>
                                <a:ext cx="9334500" cy="3385185"/>
                                <a:chOff x="-7144" y="-7144"/>
                                <a:chExt cx="6005513" cy="1924050"/>
                              </a:xfrm>
                            </wpg:grpSpPr>
                            <wps:wsp>
                              <wps:cNvPr id="1390043720" name="Rectangle 1390043720"/>
                              <wps:cNvSpPr/>
                              <wps:spPr>
                                <a:xfrm>
                                  <a:off x="-7144" y="-7144"/>
                                  <a:ext cx="6005500" cy="1924050"/>
                                </a:xfrm>
                                <a:prstGeom prst="rect">
                                  <a:avLst/>
                                </a:prstGeom>
                                <a:noFill/>
                                <a:ln>
                                  <a:noFill/>
                                </a:ln>
                              </wps:spPr>
                              <wps:txbx>
                                <w:txbxContent>
                                  <w:p w14:paraId="6BB06D61" w14:textId="77777777" w:rsidR="00913230" w:rsidRDefault="00913230">
                                    <w:pPr>
                                      <w:spacing w:after="0" w:line="240" w:lineRule="auto"/>
                                      <w:textDirection w:val="btLr"/>
                                    </w:pPr>
                                  </w:p>
                                </w:txbxContent>
                              </wps:txbx>
                              <wps:bodyPr spcFirstLastPara="1" wrap="square" lIns="91425" tIns="91425" rIns="91425" bIns="91425" anchor="ctr" anchorCtr="0">
                                <a:noAutofit/>
                              </wps:bodyPr>
                            </wps:wsp>
                            <wps:wsp>
                              <wps:cNvPr id="21375488" name="Freeform 21375488"/>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285F7E3C" w14:textId="77777777" w:rsidR="00913230" w:rsidRDefault="00913230">
                                    <w:pPr>
                                      <w:spacing w:after="0" w:line="240" w:lineRule="auto"/>
                                      <w:textDirection w:val="btLr"/>
                                    </w:pPr>
                                  </w:p>
                                </w:txbxContent>
                              </wps:txbx>
                              <wps:bodyPr spcFirstLastPara="1" wrap="square" lIns="91425" tIns="91425" rIns="91425" bIns="91425" anchor="ctr" anchorCtr="0">
                                <a:noAutofit/>
                              </wps:bodyPr>
                            </wps:wsp>
                            <wps:wsp>
                              <wps:cNvPr id="1602447441" name="Freeform 1602447441"/>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62B6C223" w14:textId="77777777" w:rsidR="00913230" w:rsidRDefault="00913230">
                                    <w:pPr>
                                      <w:spacing w:after="0" w:line="240" w:lineRule="auto"/>
                                      <w:textDirection w:val="btLr"/>
                                    </w:pPr>
                                  </w:p>
                                </w:txbxContent>
                              </wps:txbx>
                              <wps:bodyPr spcFirstLastPara="1" wrap="square" lIns="91425" tIns="91425" rIns="91425" bIns="91425" anchor="ctr" anchorCtr="0">
                                <a:noAutofit/>
                              </wps:bodyPr>
                            </wps:wsp>
                            <wps:wsp>
                              <wps:cNvPr id="1560163102" name="Freeform 1560163102"/>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5191EE7E" w14:textId="77777777" w:rsidR="00913230" w:rsidRDefault="00913230">
                                    <w:pPr>
                                      <w:spacing w:after="0" w:line="240" w:lineRule="auto"/>
                                      <w:textDirection w:val="btLr"/>
                                    </w:pPr>
                                  </w:p>
                                </w:txbxContent>
                              </wps:txbx>
                              <wps:bodyPr spcFirstLastPara="1" wrap="square" lIns="91425" tIns="91425" rIns="91425" bIns="91425" anchor="ctr" anchorCtr="0">
                                <a:noAutofit/>
                              </wps:bodyPr>
                            </wps:wsp>
                            <wps:wsp>
                              <wps:cNvPr id="1036076590" name="Freeform 1036076590"/>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06A2DB1B" w14:textId="77777777" w:rsidR="00913230" w:rsidRDefault="00913230">
                                    <w:pPr>
                                      <w:spacing w:after="0" w:line="240" w:lineRule="auto"/>
                                      <w:textDirection w:val="btLr"/>
                                    </w:pPr>
                                  </w:p>
                                </w:txbxContent>
                              </wps:txbx>
                              <wps:bodyPr spcFirstLastPara="1" wrap="square" lIns="91425" tIns="91425" rIns="91425" bIns="91425" anchor="ctr" anchorCtr="0">
                                <a:noAutofit/>
                              </wps:bodyPr>
                            </wps:wsp>
                          </wpg:grpSp>
                        </wpg:grpSp>
                      </wpg:grp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-2108198</wp:posOffset>
              </wp:positionH>
              <wp:positionV relativeFrom="paragraph">
                <wp:posOffset>-342898</wp:posOffset>
              </wp:positionV>
              <wp:extent cx="9334500" cy="3385185"/>
              <wp:effectExtent b="0" l="0" r="0" t="0"/>
              <wp:wrapNone/>
              <wp:docPr id="1903986549"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14:paraId="01547B7C" w14:textId="77777777" w:rsidR="00913230" w:rsidRDefault="00000000">
    <w:r>
      <w:rPr>
        <w:noProof/>
      </w:rPr>
      <w:drawing>
        <wp:anchor distT="0" distB="0" distL="114300" distR="114300" simplePos="0" relativeHeight="251660288" behindDoc="0" locked="0" layoutInCell="1" hidden="0" allowOverlap="1" wp14:anchorId="781B8086" wp14:editId="521E99AD">
          <wp:simplePos x="0" y="0"/>
          <wp:positionH relativeFrom="column">
            <wp:posOffset>3164840</wp:posOffset>
          </wp:positionH>
          <wp:positionV relativeFrom="paragraph">
            <wp:posOffset>26669</wp:posOffset>
          </wp:positionV>
          <wp:extent cx="3515995" cy="895985"/>
          <wp:effectExtent l="0" t="0" r="0" b="0"/>
          <wp:wrapNone/>
          <wp:docPr id="1903986551"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2"/>
                  <a:srcRect l="3374"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394E2A" w14:textId="77777777" w:rsidR="009B0B4F" w:rsidRDefault="009B0B4F">
      <w:pPr>
        <w:spacing w:after="0" w:line="240" w:lineRule="auto"/>
      </w:pPr>
      <w:r>
        <w:separator/>
      </w:r>
    </w:p>
  </w:footnote>
  <w:footnote w:type="continuationSeparator" w:id="0">
    <w:p w14:paraId="5AB5DB2B" w14:textId="77777777" w:rsidR="009B0B4F" w:rsidRDefault="009B0B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3C9C3" w14:textId="77777777" w:rsidR="00913230" w:rsidRDefault="00913230">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D6F319" w14:textId="77777777" w:rsidR="00913230" w:rsidRDefault="00913230">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FBFAE" w14:textId="77777777" w:rsidR="00913230" w:rsidRDefault="00913230">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953BED"/>
    <w:multiLevelType w:val="multilevel"/>
    <w:tmpl w:val="84A2A2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895589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4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230"/>
    <w:rsid w:val="00913230"/>
    <w:rsid w:val="009B0B4F"/>
    <w:rsid w:val="00D4689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89B9DAF"/>
  <w15:docId w15:val="{E3424AAF-D00F-364F-8C99-CA2AC045F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fr-CA" w:eastAsia="en-US"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after="120" w:line="276" w:lineRule="auto"/>
      <w:outlineLvl w:val="0"/>
    </w:pPr>
    <w:rPr>
      <w:rFonts w:ascii="Lato" w:eastAsia="Lato" w:hAnsi="Lato" w:cs="Lato"/>
      <w:b/>
      <w:color w:val="006A78"/>
      <w:sz w:val="36"/>
      <w:szCs w:val="36"/>
    </w:rPr>
  </w:style>
  <w:style w:type="paragraph" w:styleId="Heading2">
    <w:name w:val="heading 2"/>
    <w:basedOn w:val="Normal"/>
    <w:next w:val="Normal"/>
    <w:uiPriority w:val="9"/>
    <w:unhideWhenUsed/>
    <w:qFormat/>
    <w:pPr>
      <w:keepNext/>
      <w:keepLines/>
      <w:tabs>
        <w:tab w:val="left" w:pos="461"/>
      </w:tabs>
      <w:spacing w:after="120" w:line="276" w:lineRule="auto"/>
      <w:outlineLvl w:val="1"/>
    </w:pPr>
    <w:rPr>
      <w:rFonts w:ascii="Lato" w:eastAsia="Lato" w:hAnsi="Lato" w:cs="Lato"/>
      <w:b/>
      <w:color w:val="002649"/>
      <w:sz w:val="28"/>
      <w:szCs w:val="28"/>
    </w:rPr>
  </w:style>
  <w:style w:type="paragraph" w:styleId="Heading3">
    <w:name w:val="heading 3"/>
    <w:basedOn w:val="Normal"/>
    <w:next w:val="Normal"/>
    <w:uiPriority w:val="9"/>
    <w:unhideWhenUsed/>
    <w:qFormat/>
    <w:pPr>
      <w:keepNext/>
      <w:keepLines/>
      <w:tabs>
        <w:tab w:val="left" w:pos="461"/>
      </w:tabs>
      <w:spacing w:after="120" w:line="276" w:lineRule="auto"/>
      <w:outlineLvl w:val="2"/>
    </w:pPr>
    <w:rPr>
      <w:rFonts w:ascii="Lato" w:eastAsia="Lato" w:hAnsi="Lato" w:cs="Lato"/>
      <w:color w:val="006A78"/>
      <w:sz w:val="28"/>
      <w:szCs w:val="28"/>
    </w:rPr>
  </w:style>
  <w:style w:type="paragraph" w:styleId="Heading4">
    <w:name w:val="heading 4"/>
    <w:basedOn w:val="Normal"/>
    <w:next w:val="Normal"/>
    <w:uiPriority w:val="9"/>
    <w:unhideWhenUsed/>
    <w:qFormat/>
    <w:pPr>
      <w:outlineLvl w:val="3"/>
    </w:pPr>
    <w:rPr>
      <w:i/>
    </w:rPr>
  </w:style>
  <w:style w:type="paragraph" w:styleId="Heading5">
    <w:name w:val="heading 5"/>
    <w:basedOn w:val="Normal"/>
    <w:next w:val="Normal"/>
    <w:uiPriority w:val="9"/>
    <w:semiHidden/>
    <w:unhideWhenUsed/>
    <w:qFormat/>
    <w:pPr>
      <w:ind w:left="360"/>
      <w:outlineLvl w:val="4"/>
    </w:pPr>
    <w:rPr>
      <w:i/>
      <w:color w:val="006A78"/>
    </w:rPr>
  </w:style>
  <w:style w:type="paragraph" w:styleId="Heading6">
    <w:name w:val="heading 6"/>
    <w:basedOn w:val="Normal"/>
    <w:next w:val="Normal"/>
    <w:uiPriority w:val="9"/>
    <w:semiHidden/>
    <w:unhideWhenUsed/>
    <w:qFormat/>
    <w:pPr>
      <w:ind w:left="720" w:hanging="720"/>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0" w:line="240" w:lineRule="auto"/>
    </w:pPr>
    <w:rPr>
      <w:rFonts w:ascii="Lato" w:eastAsia="Lato" w:hAnsi="Lato" w:cs="Lato"/>
      <w:b/>
      <w:color w:val="002649"/>
      <w:sz w:val="44"/>
      <w:szCs w:val="44"/>
    </w:rPr>
  </w:style>
  <w:style w:type="table" w:customStyle="1" w:styleId="TableNormal1">
    <w:name w:val="TableNormal"/>
    <w:tblPr>
      <w:tblCellMar>
        <w:top w:w="100" w:type="dxa"/>
        <w:left w:w="100" w:type="dxa"/>
        <w:bottom w:w="100" w:type="dxa"/>
        <w:right w:w="100" w:type="dxa"/>
      </w:tblCellMar>
    </w:tblPr>
  </w:style>
  <w:style w:type="character" w:customStyle="1" w:styleId="Titre1Car">
    <w:name w:val="Titre 1 Car"/>
    <w:basedOn w:val="DefaultParagraphFont"/>
    <w:uiPriority w:val="9"/>
    <w:rsid w:val="00153B21"/>
    <w:rPr>
      <w:rFonts w:ascii="Lato" w:eastAsia="Arial" w:hAnsi="Lato" w:cs="Arial"/>
      <w:b/>
      <w:color w:val="006A78"/>
      <w:kern w:val="0"/>
      <w:sz w:val="36"/>
      <w:szCs w:val="40"/>
      <w:lang w:val="fr-CA"/>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fr-CA"/>
    </w:rPr>
  </w:style>
  <w:style w:type="character" w:customStyle="1" w:styleId="Titre2Car">
    <w:name w:val="Titre 2 Car"/>
    <w:basedOn w:val="DefaultParagraphFont"/>
    <w:uiPriority w:val="9"/>
    <w:rsid w:val="00004241"/>
    <w:rPr>
      <w:rFonts w:ascii="Lato" w:eastAsia="Arial" w:hAnsi="Lato" w:cstheme="minorHAnsi"/>
      <w:b/>
      <w:color w:val="002649"/>
      <w:spacing w:val="-1"/>
      <w:kern w:val="0"/>
      <w:sz w:val="28"/>
      <w:szCs w:val="32"/>
      <w:lang w:val="fr-CA"/>
    </w:rPr>
  </w:style>
  <w:style w:type="paragraph" w:styleId="NoSpacing">
    <w:name w:val="No Spacing"/>
    <w:uiPriority w:val="1"/>
    <w:rsid w:val="00563957"/>
    <w:rPr>
      <w:szCs w:val="22"/>
    </w:rPr>
  </w:style>
  <w:style w:type="paragraph" w:customStyle="1" w:styleId="ItalicisedText">
    <w:name w:val="Italicised Text"/>
    <w:basedOn w:val="BodyText"/>
    <w:qFormat/>
    <w:rsid w:val="00563957"/>
    <w:rPr>
      <w:i/>
    </w:rPr>
  </w:style>
  <w:style w:type="paragraph" w:customStyle="1" w:styleId="BulletPoints">
    <w:name w:val="Bullet Points"/>
    <w:basedOn w:val="ListBullet"/>
    <w:qFormat/>
    <w:rsid w:val="000F3400"/>
  </w:style>
  <w:style w:type="paragraph" w:styleId="BodyText">
    <w:name w:val="Body Text"/>
    <w:basedOn w:val="Normal"/>
    <w:link w:val="BodyTextChar"/>
    <w:uiPriority w:val="1"/>
    <w:semiHidden/>
    <w:unhideWhenUsed/>
    <w:qFormat/>
    <w:rsid w:val="00563957"/>
    <w:pPr>
      <w:spacing w:after="120"/>
    </w:pPr>
  </w:style>
  <w:style w:type="character" w:customStyle="1" w:styleId="BodyTextChar">
    <w:name w:val="Body Text Char"/>
    <w:basedOn w:val="DefaultParagraphFont"/>
    <w:link w:val="BodyText"/>
    <w:uiPriority w:val="1"/>
    <w:semiHidden/>
    <w:rsid w:val="00563957"/>
    <w:rPr>
      <w:rFonts w:ascii="Arial" w:hAnsi="Arial"/>
      <w:kern w:val="0"/>
      <w:szCs w:val="22"/>
      <w:lang w:val="fr-CA"/>
    </w:r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63957"/>
    <w:pPr>
      <w:ind w:left="720"/>
      <w:contextualSpacing/>
    </w:p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fr-CA"/>
    </w:rPr>
  </w:style>
  <w:style w:type="character" w:styleId="FootnoteReference">
    <w:name w:val="footnote reference"/>
    <w:basedOn w:val="DefaultParagraphFont"/>
    <w:uiPriority w:val="99"/>
    <w:semiHidden/>
    <w:unhideWhenUsed/>
    <w:rsid w:val="0084591A"/>
    <w:rPr>
      <w:vertAlign w:val="superscript"/>
    </w:rPr>
  </w:style>
  <w:style w:type="paragraph" w:customStyle="1" w:styleId="QuoteCallout">
    <w:name w:val="Quote Callout"/>
    <w:basedOn w:val="Normal"/>
    <w:qFormat/>
    <w:rsid w:val="00563957"/>
    <w:rPr>
      <w:i/>
      <w:iCs/>
      <w:color w:val="006A78"/>
    </w:rPr>
  </w:style>
  <w:style w:type="paragraph" w:customStyle="1" w:styleId="NumberedList">
    <w:name w:val="Numbered List"/>
    <w:basedOn w:val="ListParagraph"/>
    <w:qFormat/>
    <w:rsid w:val="00563957"/>
    <w:pPr>
      <w:tabs>
        <w:tab w:val="num" w:pos="720"/>
      </w:tabs>
      <w:ind w:hanging="720"/>
    </w:pPr>
  </w:style>
  <w:style w:type="character" w:customStyle="1" w:styleId="TitreCar">
    <w:name w:val="Titre Car"/>
    <w:basedOn w:val="DefaultParagraphFont"/>
    <w:uiPriority w:val="10"/>
    <w:rsid w:val="00563957"/>
    <w:rPr>
      <w:rFonts w:ascii="Lato" w:eastAsiaTheme="majorEastAsia" w:hAnsi="Lato" w:cstheme="majorBidi"/>
      <w:b/>
      <w:color w:val="002649"/>
      <w:spacing w:val="-10"/>
      <w:kern w:val="28"/>
      <w:sz w:val="44"/>
      <w:szCs w:val="56"/>
      <w:lang w:val="fr-CA"/>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1">
    <w:name w:val="toc 1"/>
    <w:basedOn w:val="Normal"/>
    <w:next w:val="Normal"/>
    <w:autoRedefine/>
    <w:uiPriority w:val="39"/>
    <w:unhideWhenUsed/>
    <w:rsid w:val="00A84922"/>
    <w:pPr>
      <w:tabs>
        <w:tab w:val="right" w:leader="dot" w:pos="10070"/>
      </w:tabs>
      <w:spacing w:after="100"/>
    </w:pPr>
    <w:rPr>
      <w:b/>
      <w:bCs/>
      <w:noProof/>
    </w:rPr>
  </w:style>
  <w:style w:type="paragraph" w:styleId="TOC2">
    <w:name w:val="toc 2"/>
    <w:basedOn w:val="Normal"/>
    <w:next w:val="Normal"/>
    <w:autoRedefine/>
    <w:uiPriority w:val="39"/>
    <w:unhideWhenUsed/>
    <w:rsid w:val="00563957"/>
    <w:pPr>
      <w:spacing w:after="100"/>
      <w:ind w:left="240"/>
    </w:pPr>
  </w:style>
  <w:style w:type="paragraph" w:styleId="TOC3">
    <w:name w:val="toc 3"/>
    <w:basedOn w:val="Normal"/>
    <w:next w:val="Normal"/>
    <w:autoRedefine/>
    <w:uiPriority w:val="39"/>
    <w:unhideWhenUsed/>
    <w:rsid w:val="00563957"/>
    <w:pPr>
      <w:spacing w:after="100"/>
      <w:ind w:left="480"/>
    </w:pPr>
  </w:style>
  <w:style w:type="character" w:styleId="Hyperlink">
    <w:name w:val="Hyperlink"/>
    <w:basedOn w:val="DefaultParagraphFont"/>
    <w:uiPriority w:val="99"/>
    <w:unhideWhenUsed/>
    <w:rsid w:val="00563957"/>
    <w:rPr>
      <w:color w:val="0563C1" w:themeColor="hyperlink"/>
      <w:u w:val="single"/>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Titre3Car">
    <w:name w:val="Titre 3 Car"/>
    <w:basedOn w:val="DefaultParagraphFont"/>
    <w:uiPriority w:val="9"/>
    <w:rsid w:val="00153B21"/>
    <w:rPr>
      <w:rFonts w:ascii="Lato" w:eastAsia="Arial" w:hAnsi="Lato" w:cstheme="minorHAnsi"/>
      <w:bCs/>
      <w:color w:val="006A78"/>
      <w:spacing w:val="-1"/>
      <w:kern w:val="0"/>
      <w:sz w:val="28"/>
      <w:szCs w:val="32"/>
      <w:lang w:val="fr-CA"/>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CurrentList1">
    <w:name w:val="Current List1"/>
    <w:uiPriority w:val="99"/>
    <w:rsid w:val="00852D32"/>
  </w:style>
  <w:style w:type="paragraph" w:customStyle="1" w:styleId="TOCBody">
    <w:name w:val="TOC Body"/>
    <w:basedOn w:val="TOC1"/>
    <w:qFormat/>
    <w:rsid w:val="00A84922"/>
  </w:style>
  <w:style w:type="character" w:customStyle="1" w:styleId="Sous-titreCar">
    <w:name w:val="Sous-titre Car"/>
    <w:basedOn w:val="DefaultParagraphFont"/>
    <w:uiPriority w:val="11"/>
    <w:rsid w:val="008057C0"/>
    <w:rPr>
      <w:rFonts w:ascii="Lato" w:eastAsia="Franklin Gothic Book" w:hAnsi="Lato" w:cs="Times New Roman"/>
      <w:b/>
      <w:bCs/>
      <w:noProof/>
      <w:color w:val="00274A"/>
      <w:spacing w:val="-10"/>
      <w:kern w:val="20"/>
      <w:sz w:val="72"/>
      <w:szCs w:val="160"/>
      <w:lang w:val="fr-CA"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rPr>
  </w:style>
  <w:style w:type="character" w:customStyle="1" w:styleId="Titre4Car">
    <w:name w:val="Titre 4 Car"/>
    <w:basedOn w:val="DefaultParagraphFont"/>
    <w:uiPriority w:val="9"/>
    <w:rsid w:val="00004241"/>
    <w:rPr>
      <w:rFonts w:ascii="Arial" w:hAnsi="Arial"/>
      <w:i/>
      <w:iCs/>
      <w:kern w:val="0"/>
      <w:szCs w:val="22"/>
    </w:rPr>
  </w:style>
  <w:style w:type="character" w:customStyle="1" w:styleId="Titre5Car">
    <w:name w:val="Titre 5 Car"/>
    <w:basedOn w:val="DefaultParagraphFont"/>
    <w:uiPriority w:val="9"/>
    <w:rsid w:val="00004241"/>
    <w:rPr>
      <w:rFonts w:ascii="Arial" w:hAnsi="Arial"/>
      <w:i/>
      <w:iCs/>
      <w:color w:val="006A78"/>
      <w:kern w:val="0"/>
      <w:szCs w:val="22"/>
    </w:rPr>
  </w:style>
  <w:style w:type="character" w:customStyle="1" w:styleId="Titre6Car">
    <w:name w:val="Titre 6 Car"/>
    <w:basedOn w:val="DefaultParagraphFont"/>
    <w:uiPriority w:val="9"/>
    <w:rsid w:val="00056B37"/>
    <w:rPr>
      <w:rFonts w:ascii="Arial" w:hAnsi="Arial"/>
      <w:kern w:val="0"/>
      <w:szCs w:val="22"/>
    </w:rPr>
  </w:style>
  <w:style w:type="paragraph" w:styleId="ListBullet">
    <w:name w:val="List Bullet"/>
    <w:basedOn w:val="Normal"/>
    <w:uiPriority w:val="99"/>
    <w:semiHidden/>
    <w:unhideWhenUsed/>
    <w:rsid w:val="00056B37"/>
    <w:pPr>
      <w:tabs>
        <w:tab w:val="num" w:pos="720"/>
      </w:tabs>
      <w:ind w:left="720" w:hanging="720"/>
      <w:contextualSpacing/>
    </w:pPr>
  </w:style>
  <w:style w:type="table" w:customStyle="1" w:styleId="1">
    <w:name w:val="1"/>
    <w:basedOn w:val="TableNormal"/>
    <w:rPr>
      <w:sz w:val="22"/>
      <w:szCs w:val="22"/>
    </w:rPr>
    <w:tblPr>
      <w:tblStyleRowBandSize w:val="1"/>
      <w:tblStyleColBandSize w:val="1"/>
    </w:tblPr>
  </w:style>
  <w:style w:type="paragraph" w:styleId="Header">
    <w:name w:val="header"/>
    <w:basedOn w:val="Normal"/>
    <w:link w:val="HeaderChar"/>
    <w:uiPriority w:val="99"/>
    <w:unhideWhenUsed/>
    <w:rsid w:val="003B23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2321"/>
    <w:rPr>
      <w:szCs w:val="22"/>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rsid w:val="00EE3CB4"/>
    <w:rPr>
      <w:sz w:val="20"/>
      <w:szCs w:val="20"/>
    </w:rPr>
  </w:style>
  <w:style w:type="paragraph" w:styleId="CommentSubject">
    <w:name w:val="annotation subject"/>
    <w:basedOn w:val="CommentText"/>
    <w:next w:val="CommentText"/>
    <w:link w:val="CommentSubjectChar"/>
    <w:uiPriority w:val="99"/>
    <w:semiHidden/>
    <w:unhideWhenUsed/>
    <w:rsid w:val="00EE3CB4"/>
    <w:rPr>
      <w:b/>
      <w:bCs/>
    </w:rPr>
  </w:style>
  <w:style w:type="character" w:customStyle="1" w:styleId="CommentSubjectChar">
    <w:name w:val="Comment Subject Char"/>
    <w:basedOn w:val="CommentTextChar"/>
    <w:link w:val="CommentSubject"/>
    <w:uiPriority w:val="99"/>
    <w:semiHidden/>
    <w:rsid w:val="00EE3CB4"/>
    <w:rPr>
      <w:b/>
      <w:bCs/>
      <w:sz w:val="20"/>
      <w:szCs w:val="20"/>
    </w:rPr>
  </w:style>
  <w:style w:type="paragraph" w:styleId="BalloonText">
    <w:name w:val="Balloon Text"/>
    <w:basedOn w:val="Normal"/>
    <w:link w:val="BalloonTextChar"/>
    <w:uiPriority w:val="99"/>
    <w:semiHidden/>
    <w:unhideWhenUsed/>
    <w:rsid w:val="00EE3C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3CB4"/>
    <w:rPr>
      <w:rFonts w:ascii="Segoe UI" w:hAnsi="Segoe UI" w:cs="Segoe UI"/>
      <w:sz w:val="18"/>
      <w:szCs w:val="18"/>
    </w:rPr>
  </w:style>
  <w:style w:type="character" w:styleId="Strong">
    <w:name w:val="Strong"/>
    <w:basedOn w:val="DefaultParagraphFont"/>
    <w:uiPriority w:val="22"/>
    <w:qFormat/>
    <w:rsid w:val="00C47610"/>
    <w:rPr>
      <w:b/>
      <w:bCs/>
    </w:rPr>
  </w:style>
  <w:style w:type="paragraph" w:styleId="Revision">
    <w:name w:val="Revision"/>
    <w:hidden/>
    <w:uiPriority w:val="99"/>
    <w:semiHidden/>
    <w:rsid w:val="00193B91"/>
    <w:pPr>
      <w:spacing w:after="0" w:line="240" w:lineRule="auto"/>
    </w:pPr>
    <w:rPr>
      <w:szCs w:val="22"/>
    </w:rPr>
  </w:style>
  <w:style w:type="paragraph" w:styleId="TOCHeading">
    <w:name w:val="TOC Heading"/>
    <w:next w:val="Normal"/>
    <w:uiPriority w:val="39"/>
    <w:unhideWhenUsed/>
    <w:qFormat/>
    <w:rsid w:val="0007767C"/>
    <w:pPr>
      <w:spacing w:before="240" w:after="0" w:line="259" w:lineRule="auto"/>
    </w:pPr>
    <w:rPr>
      <w:rFonts w:asciiTheme="majorHAnsi" w:eastAsiaTheme="majorEastAsia" w:hAnsiTheme="majorHAnsi" w:cstheme="majorBidi"/>
      <w:color w:val="2F5496" w:themeColor="accent1" w:themeShade="BF"/>
      <w:sz w:val="32"/>
      <w:szCs w:val="32"/>
      <w:lang w:val="en-CA"/>
    </w:rPr>
  </w:style>
  <w:style w:type="paragraph" w:styleId="Subtitle">
    <w:name w:val="Subtitle"/>
    <w:basedOn w:val="Normal"/>
    <w:next w:val="Normal"/>
    <w:uiPriority w:val="11"/>
    <w:qFormat/>
    <w:pPr>
      <w:spacing w:after="0" w:line="240" w:lineRule="auto"/>
    </w:pPr>
    <w:rPr>
      <w:rFonts w:ascii="Lato" w:eastAsia="Lato" w:hAnsi="Lato" w:cs="Lato"/>
      <w:b/>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fnigc.ca/fr/les-principes-de-pcap-des-premieres-nations/" TargetMode="External"/><Relationship Id="rId13" Type="http://schemas.openxmlformats.org/officeDocument/2006/relationships/hyperlink" Target="https://www.youtube.com/watch?v=B9UCTPJnzfw"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s://www.youtube.com/watch?v=ZRLMjODu_p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youtube.com/watch?v=qvv84Zv2J9E"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RtfKXVWtVXE"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upstreamlab.org/ways-to-engage-patients-in-ai-healthcare-application-development/" TargetMode="External"/><Relationship Id="rId23" Type="http://schemas.openxmlformats.org/officeDocument/2006/relationships/fontTable" Target="fontTable.xml"/><Relationship Id="rId10" Type="http://schemas.openxmlformats.org/officeDocument/2006/relationships/hyperlink" Target="https://www.hdrn.ca/fr/pour-le-public/lengagement-du-public/forum-public/programme2025/"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hdrn.ca/fr/pour-le-public/lengagement-du-public/forum-public/" TargetMode="External"/><Relationship Id="rId14" Type="http://schemas.openxmlformats.org/officeDocument/2006/relationships/hyperlink" Target="https://upstreamlab.org/" TargetMode="External"/><Relationship Id="rId22"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eEIwA30zB0tPzFx11cxA2vKl1A==">CgMxLjAaDQoBMBIICgYIBTICCAEaDQoBMRIICgYIBTICCAEaDQoBMhIICgYIBTICCAEyDmguOHF6b3FpeTRnaXJpMg5oLndtdG5kYXhrMTV2bTIOaC50bDM3NWR4emphZHQyDmguNGp1NWc2aTl5YW9hMg5oLndwN3liZHJ3NTFxODIOaC42eW5yNzcyMW83amIyDmguc2hzMjVrNHlneXl4Mg5oLm84cjN4Y2F2dWkzazIOaC5xaHV3NXJkYWFtajMyDmgucjZuNDRna3pjNTE2Mg5oLml4NG96d3M5bmVkazIOaC5scTlsNGRsOWR2Z2syDmgubXU5YTRodWlwbzdtMg5oLjgxdW1iN3Ntc3ZiMjIOaC5zd3h6OXJtM2dmN2c4AHIhMUdOSWRHQlg2WkFCX2JKV1Jwd0xnY3VOdGlSZk5mc2l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5267</Words>
  <Characters>30027</Characters>
  <Application>Microsoft Office Word</Application>
  <DocSecurity>2</DocSecurity>
  <Lines>250</Lines>
  <Paragraphs>70</Paragraphs>
  <ScaleCrop>false</ScaleCrop>
  <Company/>
  <LinksUpToDate>false</LinksUpToDate>
  <CharactersWithSpaces>35224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Microsoft Office User</cp:lastModifiedBy>
  <cp:revision>2</cp:revision>
  <dcterms:created xsi:type="dcterms:W3CDTF">2025-08-05T11:52:00Z</dcterms:created>
  <dcterms:modified xsi:type="dcterms:W3CDTF">2025-11-11T18:29:00Z</dcterms:modified>
</cp:coreProperties>
</file>