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551019409"/>
      </w:sdtPr>
      <w:sdtContent>
        <w:p w14:paraId="55AAEB39" w14:textId="77777777" w:rsidR="00A8362E" w:rsidRDefault="00000000">
          <w:pPr>
            <w:pStyle w:val="Title"/>
            <w:spacing w:after="240"/>
            <w:rPr>
              <w:color w:val="00274A"/>
            </w:rPr>
          </w:pPr>
          <w:r>
            <w:rPr>
              <w:color w:val="00274A"/>
            </w:rPr>
            <w:t xml:space="preserve">HDRN Canada </w:t>
          </w:r>
        </w:p>
      </w:sdtContent>
    </w:sdt>
    <w:p w14:paraId="190EDE26" w14:textId="77777777" w:rsidR="00A8362E" w:rsidRDefault="00000000">
      <w:pPr>
        <w:pStyle w:val="Subtitle"/>
        <w:spacing w:after="240"/>
      </w:pPr>
      <w:r>
        <w:t xml:space="preserve">Health Data for All of Us: </w:t>
      </w:r>
    </w:p>
    <w:p w14:paraId="6A6D159E" w14:textId="77777777" w:rsidR="00A8362E" w:rsidRDefault="00000000">
      <w:pPr>
        <w:pStyle w:val="Subtitle"/>
        <w:spacing w:after="240"/>
      </w:pPr>
      <w:r>
        <w:t>The Role of AI in Health</w:t>
      </w:r>
    </w:p>
    <w:sdt>
      <w:sdtPr>
        <w:tag w:val="goog_rdk_1"/>
        <w:id w:val="-1068146552"/>
      </w:sdtPr>
      <w:sdtContent>
        <w:p w14:paraId="75E348FA" w14:textId="77777777" w:rsidR="00A8362E" w:rsidRDefault="00000000">
          <w:pPr>
            <w:pStyle w:val="Title"/>
          </w:pPr>
          <w:r>
            <w:t>Summary Report</w:t>
          </w:r>
        </w:p>
      </w:sdtContent>
    </w:sdt>
    <w:sdt>
      <w:sdtPr>
        <w:tag w:val="goog_rdk_2"/>
        <w:id w:val="-208492112"/>
      </w:sdtPr>
      <w:sdtContent>
        <w:p w14:paraId="2B73A551" w14:textId="77777777" w:rsidR="00A8362E" w:rsidRDefault="00000000">
          <w:pPr>
            <w:tabs>
              <w:tab w:val="left" w:pos="5891"/>
            </w:tabs>
            <w:spacing w:before="240"/>
            <w:rPr>
              <w:color w:val="006A78"/>
            </w:rPr>
          </w:pPr>
          <w:r>
            <w:rPr>
              <w:color w:val="006A78"/>
              <w:sz w:val="32"/>
              <w:szCs w:val="32"/>
            </w:rPr>
            <w:t>April 28, 2025 (Ottawa, Ontario and Online)</w:t>
          </w:r>
          <w:r>
            <w:br w:type="page"/>
          </w:r>
        </w:p>
      </w:sdtContent>
    </w:sdt>
    <w:p w14:paraId="0E99F011" w14:textId="77777777" w:rsidR="00A8362E" w:rsidRDefault="00000000">
      <w:pPr>
        <w:pStyle w:val="Title"/>
        <w:spacing w:after="240"/>
        <w:rPr>
          <w:color w:val="006A78"/>
          <w:sz w:val="36"/>
          <w:szCs w:val="36"/>
        </w:rPr>
      </w:pPr>
      <w:r>
        <w:rPr>
          <w:color w:val="006A78"/>
          <w:sz w:val="36"/>
          <w:szCs w:val="36"/>
        </w:rPr>
        <w:lastRenderedPageBreak/>
        <w:t>Table of Contents</w:t>
      </w:r>
    </w:p>
    <w:sdt>
      <w:sdtPr>
        <w:id w:val="-1815221502"/>
        <w:docPartObj>
          <w:docPartGallery w:val="Table of Contents"/>
          <w:docPartUnique/>
        </w:docPartObj>
      </w:sdtPr>
      <w:sdtContent>
        <w:p w14:paraId="429B7545"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r>
            <w:fldChar w:fldCharType="begin"/>
          </w:r>
          <w:r>
            <w:instrText xml:space="preserve"> TOC \h \u \z \t "Heading 1,1,Heading 2,2,Heading 3,3,"</w:instrText>
          </w:r>
          <w:r>
            <w:fldChar w:fldCharType="separate"/>
          </w:r>
          <w:hyperlink w:anchor="_heading=h.vfc8rqicghrc">
            <w:r>
              <w:rPr>
                <w:b/>
                <w:bCs/>
                <w:color w:val="000000"/>
              </w:rPr>
              <w:t>Introduction</w:t>
            </w:r>
            <w:r>
              <w:rPr>
                <w:b/>
                <w:bCs/>
                <w:color w:val="000000"/>
              </w:rPr>
              <w:tab/>
              <w:t>4</w:t>
            </w:r>
          </w:hyperlink>
        </w:p>
        <w:p w14:paraId="60EEC1A4"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av301luo5j5">
            <w:r>
              <w:rPr>
                <w:b/>
                <w:bCs/>
                <w:color w:val="000000"/>
              </w:rPr>
              <w:t>AI in Health: Ethical, Legal, Privacy and Equity Challenges</w:t>
            </w:r>
            <w:r>
              <w:rPr>
                <w:b/>
                <w:bCs/>
                <w:color w:val="000000"/>
              </w:rPr>
              <w:tab/>
              <w:t>5</w:t>
            </w:r>
          </w:hyperlink>
        </w:p>
        <w:p w14:paraId="428787CB"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o6bh9bxndb8">
            <w:r>
              <w:rPr>
                <w:b/>
                <w:bCs/>
                <w:color w:val="000000"/>
              </w:rPr>
              <w:t>AI in the Patient Journey – Lived Experience and Responsible AI Use</w:t>
            </w:r>
            <w:r>
              <w:rPr>
                <w:b/>
                <w:bCs/>
                <w:color w:val="000000"/>
              </w:rPr>
              <w:tab/>
              <w:t>7</w:t>
            </w:r>
          </w:hyperlink>
        </w:p>
        <w:p w14:paraId="64716111"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5syr82vfw8e5">
            <w:r>
              <w:rPr>
                <w:b/>
                <w:bCs/>
                <w:color w:val="000000"/>
              </w:rPr>
              <w:t>Ethical AI, Data Governance &amp; Guidelines for Patient Involvement</w:t>
            </w:r>
            <w:r>
              <w:rPr>
                <w:b/>
                <w:bCs/>
                <w:color w:val="000000"/>
              </w:rPr>
              <w:tab/>
              <w:t>9</w:t>
            </w:r>
          </w:hyperlink>
        </w:p>
        <w:p w14:paraId="6CA5BFB6"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b15r7cgbv80k">
            <w:r>
              <w:rPr>
                <w:b/>
                <w:bCs/>
                <w:color w:val="000000"/>
              </w:rPr>
              <w:t>The Twilight of Bioethics? Regulatory Change and the Canadian Health Data Commons</w:t>
            </w:r>
            <w:r>
              <w:rPr>
                <w:b/>
                <w:bCs/>
                <w:color w:val="000000"/>
              </w:rPr>
              <w:tab/>
              <w:t>11</w:t>
            </w:r>
          </w:hyperlink>
        </w:p>
        <w:p w14:paraId="2DB89098"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48fxgnfwktxc">
            <w:r>
              <w:rPr>
                <w:b/>
                <w:bCs/>
                <w:color w:val="000000"/>
              </w:rPr>
              <w:t>Framing Our Relations: Conversations and Considerations on AI use in Health Care and the First Nations Principles of OCAP</w:t>
            </w:r>
            <w:r>
              <w:rPr>
                <w:b/>
                <w:bCs/>
                <w:color w:val="000000"/>
              </w:rPr>
              <w:tab/>
              <w:t>13</w:t>
            </w:r>
          </w:hyperlink>
        </w:p>
        <w:p w14:paraId="1C8FEB37" w14:textId="77777777" w:rsidR="00A8362E" w:rsidRDefault="00000000">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52tasp8alc9h">
            <w:r>
              <w:rPr>
                <w:b/>
                <w:bCs/>
                <w:color w:val="000000"/>
              </w:rPr>
              <w:t>Reflections &amp; Looking Ahead</w:t>
            </w:r>
            <w:r>
              <w:rPr>
                <w:b/>
                <w:bCs/>
                <w:color w:val="000000"/>
              </w:rPr>
              <w:tab/>
              <w:t>16</w:t>
            </w:r>
          </w:hyperlink>
        </w:p>
        <w:p w14:paraId="583F6835" w14:textId="77777777" w:rsidR="00A8362E" w:rsidRDefault="00000000">
          <w:pPr>
            <w:pBdr>
              <w:top w:val="nil"/>
              <w:left w:val="nil"/>
              <w:bottom w:val="nil"/>
              <w:right w:val="nil"/>
              <w:between w:val="nil"/>
            </w:pBdr>
            <w:tabs>
              <w:tab w:val="right" w:pos="10070"/>
            </w:tabs>
            <w:spacing w:after="100"/>
            <w:ind w:left="240"/>
            <w:rPr>
              <w:rFonts w:ascii="Calibri" w:eastAsia="Calibri" w:hAnsi="Calibri" w:cs="Calibri"/>
              <w:color w:val="000000"/>
              <w:sz w:val="22"/>
              <w:szCs w:val="22"/>
            </w:rPr>
          </w:pPr>
          <w:hyperlink w:anchor="_heading=h.8xjhvd6x5ycy">
            <w:r>
              <w:rPr>
                <w:color w:val="000000"/>
              </w:rPr>
              <w:t>Health Data for All of Us: Key Themes &amp; Reflections</w:t>
            </w:r>
            <w:r>
              <w:rPr>
                <w:color w:val="000000"/>
              </w:rPr>
              <w:tab/>
              <w:t>17</w:t>
            </w:r>
          </w:hyperlink>
        </w:p>
        <w:p w14:paraId="138DA12F" w14:textId="77777777" w:rsidR="00A8362E" w:rsidRDefault="00000000">
          <w:pPr>
            <w:pBdr>
              <w:top w:val="nil"/>
              <w:left w:val="nil"/>
              <w:bottom w:val="nil"/>
              <w:right w:val="nil"/>
              <w:between w:val="nil"/>
            </w:pBdr>
            <w:tabs>
              <w:tab w:val="right" w:pos="10070"/>
            </w:tabs>
            <w:spacing w:after="100"/>
            <w:rPr>
              <w:b/>
              <w:bCs/>
              <w:color w:val="000000"/>
            </w:rPr>
          </w:pPr>
          <w:r>
            <w:fldChar w:fldCharType="end"/>
          </w:r>
        </w:p>
      </w:sdtContent>
    </w:sdt>
    <w:p w14:paraId="3B6D3914" w14:textId="77777777" w:rsidR="00A8362E" w:rsidRDefault="00000000">
      <w:pPr>
        <w:spacing w:after="0" w:line="240" w:lineRule="auto"/>
        <w:rPr>
          <w:rFonts w:ascii="Lato" w:eastAsia="Lato" w:hAnsi="Lato" w:cs="Lato"/>
          <w:b/>
          <w:bCs/>
          <w:color w:val="006A78"/>
        </w:rPr>
      </w:pPr>
      <w:r>
        <w:br w:type="page"/>
      </w:r>
    </w:p>
    <w:p w14:paraId="68338629" w14:textId="77777777" w:rsidR="00A8362E" w:rsidRDefault="00000000">
      <w:bookmarkStart w:id="0" w:name="_heading=h.8qzoqiy4giri" w:colFirst="0" w:colLast="0"/>
      <w:bookmarkEnd w:id="0"/>
      <w:r>
        <w:rPr>
          <w:i/>
          <w:iCs/>
        </w:rPr>
        <w:lastRenderedPageBreak/>
        <w:t>Health Data for All of Us: The Role of AI in Health</w:t>
      </w:r>
      <w:r>
        <w:rPr>
          <w:b/>
          <w:bCs/>
          <w:sz w:val="28"/>
          <w:szCs w:val="28"/>
        </w:rPr>
        <w:t xml:space="preserve"> </w:t>
      </w:r>
      <w:r>
        <w:t xml:space="preserve">was the third annual public forum hosted by Health Data Research Network Canada’s (HDRN Canada) Public Engagement Working Group and Public Advisory Council (PAC). </w:t>
      </w:r>
    </w:p>
    <w:p w14:paraId="1BAEC131" w14:textId="77777777" w:rsidR="00A8362E" w:rsidRDefault="00000000">
      <w:r>
        <w:t>The Forum convened diverse voices—including public and patient partners, researchers, policymakers and technology experts—to explore the present and future of artificial intelligence in health care and health research. Through plenaries, panel discussions, and interactive tools like Whova and Slido, participants engaged with questions about trust, transparency, cultural safety and equity in the context of rapidly evolving technologies.</w:t>
      </w:r>
    </w:p>
    <w:p w14:paraId="1A3636AA" w14:textId="77777777" w:rsidR="00A8362E" w:rsidRDefault="00000000">
      <w:r>
        <w:t>The goals of the Forum were to:</w:t>
      </w:r>
    </w:p>
    <w:p w14:paraId="2CDBE4A3" w14:textId="77777777" w:rsidR="00A8362E" w:rsidRDefault="00000000">
      <w:pPr>
        <w:numPr>
          <w:ilvl w:val="0"/>
          <w:numId w:val="1"/>
        </w:numPr>
        <w:pBdr>
          <w:top w:val="nil"/>
          <w:left w:val="nil"/>
          <w:bottom w:val="nil"/>
          <w:right w:val="nil"/>
          <w:between w:val="nil"/>
        </w:pBdr>
        <w:spacing w:after="0"/>
      </w:pPr>
      <w:r>
        <w:rPr>
          <w:color w:val="000000"/>
        </w:rPr>
        <w:t>Create space for public voices to shape the future of AI and health data use.</w:t>
      </w:r>
    </w:p>
    <w:p w14:paraId="0ADF02A1" w14:textId="77777777" w:rsidR="00A8362E" w:rsidRDefault="00000000">
      <w:pPr>
        <w:numPr>
          <w:ilvl w:val="0"/>
          <w:numId w:val="1"/>
        </w:numPr>
        <w:pBdr>
          <w:top w:val="nil"/>
          <w:left w:val="nil"/>
          <w:bottom w:val="nil"/>
          <w:right w:val="nil"/>
          <w:between w:val="nil"/>
        </w:pBdr>
        <w:spacing w:after="0"/>
      </w:pPr>
      <w:r>
        <w:rPr>
          <w:color w:val="000000"/>
        </w:rPr>
        <w:t>Highlight the need for meaningful and ongoing engagement with communities most impacted by health inequities.</w:t>
      </w:r>
    </w:p>
    <w:p w14:paraId="2874A3EB" w14:textId="77777777" w:rsidR="00A8362E" w:rsidRDefault="00000000">
      <w:pPr>
        <w:numPr>
          <w:ilvl w:val="0"/>
          <w:numId w:val="1"/>
        </w:numPr>
        <w:pBdr>
          <w:top w:val="nil"/>
          <w:left w:val="nil"/>
          <w:bottom w:val="nil"/>
          <w:right w:val="nil"/>
          <w:between w:val="nil"/>
        </w:pBdr>
      </w:pPr>
      <w:r>
        <w:rPr>
          <w:color w:val="000000"/>
        </w:rPr>
        <w:t>Discuss the opportunities and risks of AI tools in clinical practice, mental health, public data systems and Indigenous data sovereignty.</w:t>
      </w:r>
    </w:p>
    <w:p w14:paraId="1DC14883" w14:textId="77777777" w:rsidR="00A8362E" w:rsidRDefault="00000000">
      <w:r>
        <w:t>Session discussions addressed a wide range of topics, from ethical AI development and inclusive governance and data infrastructures, and the First Nations principles of Ownership, Control, Access and Possession (</w:t>
      </w:r>
      <w:hyperlink r:id="rId8">
        <w:r>
          <w:rPr>
            <w:color w:val="0563C1"/>
            <w:u w:val="single"/>
          </w:rPr>
          <w:t>OCAP</w:t>
        </w:r>
      </w:hyperlink>
      <w:r>
        <w:t>®). During the event, a shared focus emerged on the need to strengthen public trust through accountability, inclusive design and sustained community collaborations.</w:t>
      </w:r>
    </w:p>
    <w:p w14:paraId="1B0790C6" w14:textId="77777777" w:rsidR="00A8362E" w:rsidRDefault="00000000">
      <w:r>
        <w:t xml:space="preserve">This document captures key themes and insights from across the Forum sessions and outlines considerations for HDRN Canada and its partners as they continue to support responsible, inclusive and transparent health data governance. View the </w:t>
      </w:r>
      <w:hyperlink r:id="rId9">
        <w:r>
          <w:rPr>
            <w:i/>
            <w:iCs/>
            <w:color w:val="1155CC"/>
            <w:u w:val="single"/>
          </w:rPr>
          <w:t xml:space="preserve">Health Data for All of Us Forum </w:t>
        </w:r>
      </w:hyperlink>
      <w:r>
        <w:t xml:space="preserve">page on the HDRN Canada website for a detailed </w:t>
      </w:r>
      <w:hyperlink r:id="rId10">
        <w:r>
          <w:rPr>
            <w:color w:val="0563C1"/>
            <w:u w:val="single"/>
          </w:rPr>
          <w:t>agenda</w:t>
        </w:r>
      </w:hyperlink>
      <w:r>
        <w:t xml:space="preserve"> and more information.</w:t>
      </w:r>
    </w:p>
    <w:p w14:paraId="0C49C4D7" w14:textId="77777777" w:rsidR="00A8362E" w:rsidRDefault="00000000">
      <w:pPr>
        <w:rPr>
          <w:rFonts w:ascii="Lato" w:eastAsia="Lato" w:hAnsi="Lato" w:cs="Lato"/>
          <w:b/>
          <w:bCs/>
          <w:color w:val="006A78"/>
          <w:sz w:val="36"/>
          <w:szCs w:val="36"/>
        </w:rPr>
      </w:pPr>
      <w:r>
        <w:br w:type="page"/>
      </w:r>
    </w:p>
    <w:p w14:paraId="05111578" w14:textId="77777777" w:rsidR="00A8362E" w:rsidRDefault="00000000">
      <w:pPr>
        <w:pStyle w:val="Heading1"/>
        <w:spacing w:before="240"/>
      </w:pPr>
      <w:bookmarkStart w:id="1" w:name="_heading=h.vfc8rqicghrc" w:colFirst="0" w:colLast="0"/>
      <w:bookmarkEnd w:id="1"/>
      <w:r>
        <w:lastRenderedPageBreak/>
        <w:t>Introduction</w:t>
      </w:r>
    </w:p>
    <w:p w14:paraId="7B715A42" w14:textId="77777777" w:rsidR="00A8362E" w:rsidRDefault="00000000">
      <w:pPr>
        <w:spacing w:before="240"/>
      </w:pPr>
      <w:r>
        <w:t xml:space="preserve">The Forum’s Emcee, </w:t>
      </w:r>
      <w:r>
        <w:rPr>
          <w:b/>
          <w:bCs/>
        </w:rPr>
        <w:t>Nathan Nickel</w:t>
      </w:r>
      <w:r>
        <w:t xml:space="preserve"> (an HDRN Canada Executive member), introduced the event and </w:t>
      </w:r>
      <w:r>
        <w:rPr>
          <w:b/>
          <w:bCs/>
        </w:rPr>
        <w:t>Elaine Kicknosway</w:t>
      </w:r>
      <w:r>
        <w:t xml:space="preserve"> (Kicknosway Apatchitwane Elaine), who is Swampy Cree through her mother from Amisk Lake. She is a member of Peter Ballantyne Cree Nation in northern Saskatchewan and is part of the Wolf Clan.</w:t>
      </w:r>
    </w:p>
    <w:p w14:paraId="46A0829F" w14:textId="77777777" w:rsidR="00A8362E" w:rsidRDefault="00000000">
      <w:pPr>
        <w:spacing w:before="240"/>
      </w:pPr>
      <w:r>
        <w:t>Her remarks grounded the day in the spirit of reconciliation, relationship-building, and reciprocity, recognizing the unceded territory of the Anishinaabe Algonquin people. Elaine shared teachings on land, language, and community, reminding participants of the ongoing need to unlearn bias, reflect on personal responsibilities, and honour the knowledge systems of Indigenous Peoples.</w:t>
      </w:r>
    </w:p>
    <w:p w14:paraId="16BFF624" w14:textId="77777777" w:rsidR="00A8362E" w:rsidRDefault="00000000">
      <w:pPr>
        <w:spacing w:before="240"/>
      </w:pPr>
      <w:r>
        <w:t>She emphasized that public trust in health care and data systems cannot be built without acknowledging the long history of mistrust and harm to Indigenous communities caused by colonization. She invited attendees to consider how relationships are formed, not just between individuals, but between institutions and the land. By encouraging language learning and cultural humility, Elaine called for spaces that are psychologically, spiritually, emotionally and physically safe for all participants. Her message set the tone for an event grounded not only in innovation but in respectful and ethical knowledge sharing.</w:t>
      </w:r>
    </w:p>
    <w:p w14:paraId="5D527787" w14:textId="77777777" w:rsidR="00A8362E" w:rsidRDefault="00000000">
      <w:pPr>
        <w:pBdr>
          <w:top w:val="nil"/>
          <w:left w:val="nil"/>
          <w:bottom w:val="nil"/>
          <w:right w:val="nil"/>
          <w:between w:val="nil"/>
        </w:pBdr>
        <w:jc w:val="center"/>
        <w:rPr>
          <w:i/>
          <w:iCs/>
          <w:color w:val="006A78"/>
        </w:rPr>
      </w:pPr>
      <w:r>
        <w:rPr>
          <w:i/>
          <w:iCs/>
          <w:color w:val="006A78"/>
        </w:rPr>
        <w:t>“Call yourself back to the land, and if that makes you feel uncomfortable, ask yourself why. If that makes you feel uncomfortable about building a relationship, ask yourself why…we all carry bias in this country, and so we are constantly unlearning it, generationally unlearning it.”</w:t>
      </w:r>
    </w:p>
    <w:p w14:paraId="3FC05594" w14:textId="77777777" w:rsidR="00A8362E" w:rsidRDefault="00000000">
      <w:pPr>
        <w:pBdr>
          <w:top w:val="nil"/>
          <w:left w:val="nil"/>
          <w:bottom w:val="nil"/>
          <w:right w:val="nil"/>
          <w:between w:val="nil"/>
        </w:pBdr>
        <w:jc w:val="center"/>
        <w:rPr>
          <w:i/>
          <w:iCs/>
          <w:color w:val="006A78"/>
        </w:rPr>
      </w:pPr>
      <w:r>
        <w:rPr>
          <w:i/>
          <w:iCs/>
          <w:color w:val="006A78"/>
        </w:rPr>
        <w:t xml:space="preserve">~ </w:t>
      </w:r>
      <w:r>
        <w:rPr>
          <w:b/>
          <w:bCs/>
          <w:i/>
          <w:iCs/>
          <w:color w:val="006A78"/>
        </w:rPr>
        <w:t>Elaine Kicknosway</w:t>
      </w:r>
    </w:p>
    <w:p w14:paraId="509FD8F2" w14:textId="77777777" w:rsidR="00A8362E" w:rsidRDefault="00000000">
      <w:r>
        <w:t xml:space="preserve">We acknowledge that </w:t>
      </w:r>
      <w:r>
        <w:rPr>
          <w:i/>
          <w:iCs/>
        </w:rPr>
        <w:t xml:space="preserve">Health Data for All of Us: The Role of AI in Health </w:t>
      </w:r>
      <w:r>
        <w:t>was hosted in Ottawa on the traditional territories of the Anishinabe Algonquin Nation, who have lived on this territory for millennia. Their culture and presence have nurtured and continue to nurture this land. We honour and acknowledge all First Nations, Inuit and Métis peoples and their valuable past and present contributions to this land. Attendees joined online from across Turtle Island.</w:t>
      </w:r>
    </w:p>
    <w:p w14:paraId="1F528F03" w14:textId="77777777" w:rsidR="00A8362E" w:rsidRDefault="00000000">
      <w:pPr>
        <w:rPr>
          <w:color w:val="006A78"/>
          <w:u w:val="single"/>
        </w:rPr>
      </w:pPr>
      <w:hyperlink r:id="rId11">
        <w:r>
          <w:rPr>
            <w:color w:val="006A78"/>
            <w:u w:val="single"/>
          </w:rPr>
          <w:t>View the Indigenous Welcome &amp; Protocol recording</w:t>
        </w:r>
      </w:hyperlink>
    </w:p>
    <w:p w14:paraId="3D452A6D" w14:textId="77777777" w:rsidR="00A8362E" w:rsidRDefault="00000000">
      <w:pPr>
        <w:pStyle w:val="Heading1"/>
      </w:pPr>
      <w:bookmarkStart w:id="2" w:name="_heading=h.av301luo5j5" w:colFirst="0" w:colLast="0"/>
      <w:bookmarkEnd w:id="2"/>
      <w:r>
        <w:lastRenderedPageBreak/>
        <w:t>AI in Health: Ethical, Legal, Privacy and Equity Challenges</w:t>
      </w:r>
    </w:p>
    <w:p w14:paraId="21796440" w14:textId="77777777" w:rsidR="00A8362E" w:rsidRDefault="00000000">
      <w:pPr>
        <w:rPr>
          <w:color w:val="00274A"/>
        </w:rPr>
      </w:pPr>
      <w:bookmarkStart w:id="3" w:name="_heading=h.4ju5g6i9yaoa" w:colFirst="0" w:colLast="0"/>
      <w:bookmarkEnd w:id="3"/>
      <w:r>
        <w:rPr>
          <w:color w:val="00274A"/>
        </w:rPr>
        <w:t xml:space="preserve">Panelists: </w:t>
      </w:r>
      <w:r>
        <w:rPr>
          <w:color w:val="00274A"/>
        </w:rPr>
        <w:br/>
      </w:r>
      <w:r>
        <w:rPr>
          <w:rFonts w:ascii="Lato" w:eastAsia="Lato" w:hAnsi="Lato" w:cs="Lato"/>
          <w:b/>
          <w:bCs/>
          <w:color w:val="00274A"/>
        </w:rPr>
        <w:t>Dr. Amol Verma</w:t>
      </w:r>
      <w:r>
        <w:rPr>
          <w:rFonts w:ascii="Lato" w:eastAsia="Lato" w:hAnsi="Lato" w:cs="Lato"/>
          <w:color w:val="00274A"/>
        </w:rPr>
        <w:t>, Clinician-Scientist at St. Michael’s Hospital</w:t>
      </w:r>
      <w:r>
        <w:rPr>
          <w:rFonts w:ascii="Lato" w:eastAsia="Lato" w:hAnsi="Lato" w:cs="Lato"/>
          <w:color w:val="00274A"/>
        </w:rPr>
        <w:br/>
      </w:r>
      <w:r>
        <w:rPr>
          <w:rFonts w:ascii="Lato" w:eastAsia="Lato" w:hAnsi="Lato" w:cs="Lato"/>
          <w:b/>
          <w:bCs/>
          <w:color w:val="00274A"/>
        </w:rPr>
        <w:t>Dr. Marta Maslej</w:t>
      </w:r>
      <w:r>
        <w:rPr>
          <w:rFonts w:ascii="Lato" w:eastAsia="Lato" w:hAnsi="Lato" w:cs="Lato"/>
          <w:color w:val="00274A"/>
        </w:rPr>
        <w:t>, Staff Scientist, Krembil Centre for Neuroinformatics at the Centre for Addiction and Mental Health</w:t>
      </w:r>
      <w:r>
        <w:rPr>
          <w:rFonts w:ascii="Lato" w:eastAsia="Lato" w:hAnsi="Lato" w:cs="Lato"/>
          <w:b/>
          <w:bCs/>
          <w:color w:val="00274A"/>
        </w:rPr>
        <w:br/>
        <w:t>Charlotte Munro</w:t>
      </w:r>
      <w:r>
        <w:rPr>
          <w:rFonts w:ascii="Lato" w:eastAsia="Lato" w:hAnsi="Lato" w:cs="Lato"/>
          <w:color w:val="00274A"/>
        </w:rPr>
        <w:t>, Public/patient partner | Member of the HDRN Canada PAC</w:t>
      </w:r>
      <w:r>
        <w:rPr>
          <w:rFonts w:ascii="Lato" w:eastAsia="Lato" w:hAnsi="Lato" w:cs="Lato"/>
          <w:b/>
          <w:bCs/>
          <w:color w:val="00274A"/>
        </w:rPr>
        <w:t xml:space="preserve"> </w:t>
      </w:r>
    </w:p>
    <w:p w14:paraId="4907BE1F" w14:textId="77777777" w:rsidR="00A8362E" w:rsidRDefault="00000000">
      <w:pPr>
        <w:rPr>
          <w:i/>
          <w:iCs/>
          <w:color w:val="00274A"/>
        </w:rPr>
      </w:pPr>
      <w:r>
        <w:rPr>
          <w:color w:val="00274A"/>
        </w:rPr>
        <w:t>Moderator:</w:t>
      </w:r>
      <w:r>
        <w:rPr>
          <w:i/>
          <w:iCs/>
          <w:color w:val="00274A"/>
        </w:rPr>
        <w:br/>
      </w:r>
      <w:r>
        <w:rPr>
          <w:rFonts w:ascii="Lato" w:eastAsia="Lato" w:hAnsi="Lato" w:cs="Lato"/>
          <w:b/>
          <w:bCs/>
          <w:color w:val="00274A"/>
        </w:rPr>
        <w:t xml:space="preserve">Julia Burt, </w:t>
      </w:r>
      <w:r>
        <w:rPr>
          <w:rFonts w:ascii="Lato" w:eastAsia="Lato" w:hAnsi="Lato" w:cs="Lato"/>
          <w:color w:val="00274A"/>
        </w:rPr>
        <w:t>Public Engagement Operational Lead at HDRN Canada</w:t>
      </w:r>
    </w:p>
    <w:p w14:paraId="4915810E" w14:textId="77777777" w:rsidR="00A8362E" w:rsidRDefault="00000000">
      <w:r>
        <w:t>The Forum’s opening panel, moderated by Julia Burt, explored the evolving role of artificial intelligence (AI) technologies like AI scribes and chatbots in transforming clinical documentation, patient engagement and health system efficiency. While the panelists acknowledged AI’s potential to save time and support clinicians, they also expressed caution around its risks, biases and the broader systemic issues that technology alone cannot solve.</w:t>
      </w:r>
    </w:p>
    <w:p w14:paraId="5904CF19" w14:textId="77777777" w:rsidR="00A8362E" w:rsidRDefault="00000000">
      <w:r>
        <w:rPr>
          <w:b/>
          <w:bCs/>
        </w:rPr>
        <w:t>Dr. Amol Verma</w:t>
      </w:r>
      <w:r>
        <w:t xml:space="preserve"> highlighted how AI scribes are improving patient-provider interactions and reducing clinician burnout by saving two to three hours per week in documentation. He emphasized that while these tools add efficiency, the way they record and structure information can introduce bias and influence future care. He called for strong infrastructure, governance and evaluation to ensure AI is created and used responsibly. </w:t>
      </w:r>
    </w:p>
    <w:p w14:paraId="2889EA32" w14:textId="77777777" w:rsidR="00A8362E" w:rsidRDefault="00000000">
      <w:pPr>
        <w:pBdr>
          <w:top w:val="nil"/>
          <w:left w:val="nil"/>
          <w:bottom w:val="nil"/>
          <w:right w:val="nil"/>
          <w:between w:val="nil"/>
        </w:pBdr>
        <w:jc w:val="center"/>
        <w:rPr>
          <w:color w:val="006A78"/>
        </w:rPr>
      </w:pPr>
      <w:r>
        <w:rPr>
          <w:i/>
          <w:iCs/>
          <w:color w:val="006A78"/>
        </w:rPr>
        <w:t xml:space="preserve">“We’re not behind, we’re early. What we need is infrastructure, not a rush to implementation.” </w:t>
      </w:r>
      <w:r>
        <w:rPr>
          <w:color w:val="006A78"/>
        </w:rPr>
        <w:br/>
      </w:r>
      <w:r>
        <w:rPr>
          <w:b/>
          <w:bCs/>
          <w:color w:val="006A78"/>
        </w:rPr>
        <w:t>~ Dr. Amol Verma</w:t>
      </w:r>
    </w:p>
    <w:p w14:paraId="4DEA3A28" w14:textId="77777777" w:rsidR="00A8362E" w:rsidRDefault="00000000">
      <w:r>
        <w:rPr>
          <w:b/>
          <w:bCs/>
        </w:rPr>
        <w:t>Dr. Marta Maslej</w:t>
      </w:r>
      <w:r>
        <w:t xml:space="preserve"> spoke to AI’s value in mental health, where narrative data are complex and time-consuming. She noted that AI can reduce administrative burden but warned that time saved should not lead to increased expectations and patient loads. She also raised concerns about biased or stigmatizing language in clinical notes and urged development of AI systems that mitigate, rather than reinforce, harm.</w:t>
      </w:r>
    </w:p>
    <w:p w14:paraId="2DC60100" w14:textId="77777777" w:rsidR="00A8362E" w:rsidRDefault="00000000">
      <w:pPr>
        <w:pBdr>
          <w:top w:val="nil"/>
          <w:left w:val="nil"/>
          <w:bottom w:val="nil"/>
          <w:right w:val="nil"/>
          <w:between w:val="nil"/>
        </w:pBdr>
        <w:jc w:val="center"/>
        <w:rPr>
          <w:color w:val="006A78"/>
        </w:rPr>
      </w:pPr>
      <w:r>
        <w:rPr>
          <w:i/>
          <w:iCs/>
          <w:color w:val="006A78"/>
        </w:rPr>
        <w:t xml:space="preserve">“Efficiency is great, but if we do not address systemic problems, these tools may just add to clinician burden.” </w:t>
      </w:r>
      <w:r>
        <w:rPr>
          <w:b/>
          <w:bCs/>
          <w:color w:val="006A78"/>
        </w:rPr>
        <w:t>~ Dr. Marta Maslej</w:t>
      </w:r>
    </w:p>
    <w:p w14:paraId="20212921" w14:textId="77777777" w:rsidR="00A8362E" w:rsidRDefault="00000000">
      <w:r>
        <w:rPr>
          <w:b/>
          <w:bCs/>
        </w:rPr>
        <w:lastRenderedPageBreak/>
        <w:t>Charlotte Munro</w:t>
      </w:r>
      <w:r>
        <w:t xml:space="preserve"> shared a personal experience where incorrect clinical records led to serious consequences for her son. She turned to ChatGPT for clarity, finding it more helpful than her health care provider. Her story illustrated how omissions and bias in documentation can harm care, especially for marginalized patients, and showed how AI can support patients when the system falls short.</w:t>
      </w:r>
    </w:p>
    <w:p w14:paraId="33339F72" w14:textId="77777777" w:rsidR="00A8362E" w:rsidRDefault="00000000">
      <w:r>
        <w:t>The session also explored the role of AI chatbots in health care. Dr. Maslej saw potential in using AI tools to make mental health support more widely available, because so many people have access to smartphones. However, she and others raised concerns about safety, especially when inaccurate or inappropriate outputs go unchecked, such as a case where a chatbot suggested smoking to relieve stress. Panelists agreed that strong guardrails are essential to mitigate harm.</w:t>
      </w:r>
    </w:p>
    <w:p w14:paraId="5E78A4B1" w14:textId="77777777" w:rsidR="00A8362E" w:rsidRDefault="00000000">
      <w:r>
        <w:t>During the question and answer session, participants asked how to effectively prompt generative AI models and whether current systems could handle complex information in medical records. All panelists stressed the need for further evaluation through Health Technology Assessments (HTA) to ensure these tools are safe, equitable, and clinically meaningful.</w:t>
      </w:r>
    </w:p>
    <w:p w14:paraId="5552F0B1" w14:textId="77777777" w:rsidR="00A8362E" w:rsidRDefault="00000000">
      <w:r>
        <w:t>AI presents a powerful opportunity to support health care, but it must be treated as a supportive tool, not a shortcut. With thoughtful integration, strong oversight and inclusive design, AI can help reimagine a system that serves providers and patients more effectively.</w:t>
      </w:r>
    </w:p>
    <w:p w14:paraId="69E8A0B2" w14:textId="77777777" w:rsidR="00A8362E" w:rsidRDefault="00000000">
      <w:pPr>
        <w:spacing w:before="240"/>
        <w:rPr>
          <w:color w:val="006A78"/>
          <w:u w:val="single"/>
        </w:rPr>
      </w:pPr>
      <w:hyperlink r:id="rId12">
        <w:r>
          <w:rPr>
            <w:color w:val="006A78"/>
            <w:u w:val="single"/>
          </w:rPr>
          <w:t>View the Keynote Panel: AI in Health - Ethical, Legal, Privacy &amp; Equity Challenges session recording</w:t>
        </w:r>
      </w:hyperlink>
    </w:p>
    <w:p w14:paraId="1C69CA2C" w14:textId="77777777" w:rsidR="00A8362E" w:rsidRDefault="00000000">
      <w:pPr>
        <w:rPr>
          <w:rFonts w:ascii="Lato" w:eastAsia="Lato" w:hAnsi="Lato" w:cs="Lato"/>
          <w:b/>
          <w:bCs/>
          <w:color w:val="006A78"/>
          <w:sz w:val="36"/>
          <w:szCs w:val="36"/>
        </w:rPr>
      </w:pPr>
      <w:r>
        <w:br w:type="page"/>
      </w:r>
    </w:p>
    <w:p w14:paraId="217DB6FA" w14:textId="77777777" w:rsidR="00A8362E" w:rsidRDefault="00000000">
      <w:pPr>
        <w:pStyle w:val="Heading1"/>
        <w:spacing w:before="240"/>
      </w:pPr>
      <w:bookmarkStart w:id="4" w:name="_heading=h.o6bh9bxndb8" w:colFirst="0" w:colLast="0"/>
      <w:bookmarkEnd w:id="4"/>
      <w:r>
        <w:lastRenderedPageBreak/>
        <w:t>AI in the Patient Journey – Lived Experience and Responsible AI Use</w:t>
      </w:r>
    </w:p>
    <w:p w14:paraId="6EE1691D" w14:textId="77777777" w:rsidR="00A8362E" w:rsidRDefault="00000000">
      <w:pPr>
        <w:rPr>
          <w:i/>
          <w:iCs/>
        </w:rPr>
      </w:pPr>
      <w:bookmarkStart w:id="5" w:name="_heading=h.6ynr7721o7jb" w:colFirst="0" w:colLast="0"/>
      <w:bookmarkEnd w:id="5"/>
      <w:r>
        <w:rPr>
          <w:color w:val="00274A"/>
        </w:rPr>
        <w:t xml:space="preserve">Presenters: </w:t>
      </w:r>
      <w:r>
        <w:rPr>
          <w:i/>
          <w:iCs/>
        </w:rPr>
        <w:br/>
      </w:r>
      <w:r>
        <w:rPr>
          <w:rFonts w:ascii="Lato" w:eastAsia="Lato" w:hAnsi="Lato" w:cs="Lato"/>
          <w:b/>
          <w:bCs/>
          <w:color w:val="00274A"/>
        </w:rPr>
        <w:t xml:space="preserve">Alvina Nadeem, </w:t>
      </w:r>
      <w:r>
        <w:rPr>
          <w:rFonts w:ascii="Lato" w:eastAsia="Lato" w:hAnsi="Lato" w:cs="Lato"/>
          <w:color w:val="00274A"/>
        </w:rPr>
        <w:t>Public/patient partner | Member of the HDRN Canada PAC</w:t>
      </w:r>
      <w:r>
        <w:rPr>
          <w:rFonts w:ascii="Lato" w:eastAsia="Lato" w:hAnsi="Lato" w:cs="Lato"/>
          <w:b/>
          <w:bCs/>
          <w:color w:val="00274A"/>
        </w:rPr>
        <w:br/>
        <w:t xml:space="preserve">Dr. Kim McGrail, </w:t>
      </w:r>
      <w:r>
        <w:rPr>
          <w:rFonts w:ascii="Lato" w:eastAsia="Lato" w:hAnsi="Lato" w:cs="Lato"/>
          <w:color w:val="00274A"/>
        </w:rPr>
        <w:t>Scientific Director and CEO of HDRN Canada</w:t>
      </w:r>
    </w:p>
    <w:p w14:paraId="588A64A3" w14:textId="77777777" w:rsidR="00A8362E" w:rsidRDefault="00000000">
      <w:r>
        <w:t>This session focused on the evolving role of AI technologies in health care, highlighting their potential to improve efficiency, reduce barriers and support patients in their care journeys. Alvina shared her personal journey that reflected broader systemic challenges and the opportunities AI presents to help navigate them.</w:t>
      </w:r>
    </w:p>
    <w:p w14:paraId="504398A8" w14:textId="77777777" w:rsidR="00A8362E" w:rsidRDefault="00000000">
      <w:r>
        <w:t xml:space="preserve">Alvina shared a deeply personal story of being diagnosed with stage one ovarian cancer at age 36, far younger than the average age for such diagnoses. She described how symptoms like fatigue, bloating and irregular menstrual cycles were initially dismissed as burnout or early menopause. She turned to ChatGPT to better understand her symptoms, and by prompting it as a medical student in a case study role, she was able to explore possible causes critically. The tool helped her recognize patterns in her symptoms and equipped her with the language and confidence to advocate for herself in a clinical setting. Unlike traditional search engines, ChatGPT offered a more empathetic and accessible way to digest medical information. It became a companion throughout her care, translating MRI results, generating questions to ask during appointments, and helping her process emotions during long waits between visits. Alvina emphasized that while AI is not perfect, it helped bridge the information gap between her and her providers. </w:t>
      </w:r>
    </w:p>
    <w:p w14:paraId="4C443DE5" w14:textId="77777777" w:rsidR="00A8362E" w:rsidRDefault="00000000">
      <w:r>
        <w:t>Dr. McGrail provided context around AI as a vast and complex field, describing it as a constellation of technologies and practices. She emphasized the importance of critical thinking when using generative tools, especially given how outcomes can vary based on the way questions are asked. Her reflections reinforced that AI’s usefulness depends not only on its design, but also on users’ understanding and judgment.</w:t>
      </w:r>
    </w:p>
    <w:p w14:paraId="7107645D" w14:textId="77777777" w:rsidR="00A8362E" w:rsidRDefault="00000000">
      <w:r>
        <w:t xml:space="preserve">Alvina also shared how ChatGPT helped her find language to talk to her young children about visible changes during treatment. Post-treatment, she continued using ChatGPT to manage </w:t>
      </w:r>
      <w:r>
        <w:lastRenderedPageBreak/>
        <w:t>brain fog, plan her days, and process psychological recovery. She shared the vision of a future where health care systems could use trusted AI tools that help keep track of what patients need, and help both the patient and doctor get ready for appointments. This would make it easier for patients to speak up, improve how they and their doctors communicate, and help make sure care is more connected and consistent.</w:t>
      </w:r>
    </w:p>
    <w:p w14:paraId="43A22C63" w14:textId="77777777" w:rsidR="00A8362E" w:rsidRDefault="00000000">
      <w:pPr>
        <w:pBdr>
          <w:top w:val="nil"/>
          <w:left w:val="nil"/>
          <w:bottom w:val="nil"/>
          <w:right w:val="nil"/>
          <w:between w:val="nil"/>
        </w:pBdr>
        <w:jc w:val="center"/>
        <w:rPr>
          <w:color w:val="006A78"/>
        </w:rPr>
      </w:pPr>
      <w:r>
        <w:rPr>
          <w:i/>
          <w:iCs/>
          <w:color w:val="006A78"/>
        </w:rPr>
        <w:t>“I had a say. What I brought to the table was valuable and that encouraged me to keep using AI as part of my care.”</w:t>
      </w:r>
      <w:r>
        <w:rPr>
          <w:color w:val="006A78"/>
        </w:rPr>
        <w:t xml:space="preserve"> </w:t>
      </w:r>
      <w:r>
        <w:rPr>
          <w:b/>
          <w:bCs/>
          <w:color w:val="006A78"/>
        </w:rPr>
        <w:t>~ Alvina Nadeem</w:t>
      </w:r>
    </w:p>
    <w:p w14:paraId="3F8D9B52" w14:textId="77777777" w:rsidR="00A8362E" w:rsidRDefault="00000000">
      <w:r>
        <w:t>The session closed with reflections on the potential for AI to act as a bridge, not a replacement, between patients and providers. When thoughtfully integrated, AI tools can extend empathy, increase access and help patients navigate not just care plans but their sense of self and agency in a complex health system.</w:t>
      </w:r>
    </w:p>
    <w:p w14:paraId="368C6BF6" w14:textId="77777777" w:rsidR="00A8362E" w:rsidRDefault="00000000">
      <w:pPr>
        <w:spacing w:before="240"/>
        <w:rPr>
          <w:color w:val="006A78"/>
          <w:u w:val="single"/>
        </w:rPr>
      </w:pPr>
      <w:hyperlink r:id="rId13">
        <w:r>
          <w:rPr>
            <w:color w:val="006A78"/>
            <w:u w:val="single"/>
          </w:rPr>
          <w:t>View the AI in the Patient Journey - Lived Experience &amp; Responsible AI Use session recording</w:t>
        </w:r>
      </w:hyperlink>
    </w:p>
    <w:p w14:paraId="441687AC" w14:textId="77777777" w:rsidR="00A8362E" w:rsidRDefault="00000000">
      <w:pPr>
        <w:rPr>
          <w:rFonts w:ascii="Lato" w:eastAsia="Lato" w:hAnsi="Lato" w:cs="Lato"/>
          <w:b/>
          <w:bCs/>
          <w:color w:val="006A78"/>
          <w:sz w:val="36"/>
          <w:szCs w:val="36"/>
        </w:rPr>
      </w:pPr>
      <w:r>
        <w:br w:type="page"/>
      </w:r>
    </w:p>
    <w:p w14:paraId="2F5F9A04" w14:textId="77777777" w:rsidR="00A8362E" w:rsidRDefault="00000000">
      <w:pPr>
        <w:pStyle w:val="Heading1"/>
        <w:spacing w:before="240"/>
      </w:pPr>
      <w:bookmarkStart w:id="6" w:name="_heading=h.5syr82vfw8e5" w:colFirst="0" w:colLast="0"/>
      <w:bookmarkEnd w:id="6"/>
      <w:r>
        <w:lastRenderedPageBreak/>
        <w:t>Ethical AI, Data Governance &amp; Guidelines for Patient Involvement</w:t>
      </w:r>
    </w:p>
    <w:p w14:paraId="01A45EB4" w14:textId="77777777" w:rsidR="00A8362E" w:rsidRDefault="00000000">
      <w:pPr>
        <w:rPr>
          <w:rFonts w:ascii="Lato" w:eastAsia="Lato" w:hAnsi="Lato" w:cs="Lato"/>
          <w:color w:val="00274A"/>
        </w:rPr>
      </w:pPr>
      <w:bookmarkStart w:id="7" w:name="_heading=h.o8r3xcavui3k" w:colFirst="0" w:colLast="0"/>
      <w:bookmarkEnd w:id="7"/>
      <w:r>
        <w:rPr>
          <w:color w:val="00274A"/>
        </w:rPr>
        <w:t>Presenters:</w:t>
      </w:r>
      <w:r>
        <w:rPr>
          <w:color w:val="00274A"/>
        </w:rPr>
        <w:br/>
      </w:r>
      <w:r>
        <w:rPr>
          <w:rFonts w:ascii="Lato" w:eastAsia="Lato" w:hAnsi="Lato" w:cs="Lato"/>
          <w:b/>
          <w:bCs/>
          <w:color w:val="00274A"/>
        </w:rPr>
        <w:t>Julia Wiercigroch</w:t>
      </w:r>
      <w:r>
        <w:rPr>
          <w:rFonts w:ascii="Lato" w:eastAsia="Lato" w:hAnsi="Lato" w:cs="Lato"/>
          <w:color w:val="00274A"/>
        </w:rPr>
        <w:t>, Biomedical Engineering Researcher, Upstream Lab | MD/PhD Student, University of Toronto</w:t>
      </w:r>
      <w:r>
        <w:rPr>
          <w:color w:val="00274A"/>
        </w:rPr>
        <w:br/>
      </w:r>
      <w:r>
        <w:rPr>
          <w:rFonts w:ascii="Lato" w:eastAsia="Lato" w:hAnsi="Lato" w:cs="Lato"/>
          <w:b/>
          <w:bCs/>
          <w:color w:val="00274A"/>
        </w:rPr>
        <w:t>Parsa Balalaie</w:t>
      </w:r>
      <w:r>
        <w:rPr>
          <w:rFonts w:ascii="Lato" w:eastAsia="Lato" w:hAnsi="Lato" w:cs="Lato"/>
          <w:color w:val="00274A"/>
        </w:rPr>
        <w:t>, Research Data Analyst, Upstream Lab</w:t>
      </w:r>
    </w:p>
    <w:p w14:paraId="19D1CB4D" w14:textId="77777777" w:rsidR="00A8362E" w:rsidRDefault="00000000">
      <w:r>
        <w:t xml:space="preserve">This session focused on the growing integration of artificial intelligence in health care and emphasized the critical need for ethical oversight, data governance and meaningful patient engagement. Led by researchers from the </w:t>
      </w:r>
      <w:hyperlink r:id="rId14">
        <w:r>
          <w:rPr>
            <w:color w:val="0563C1"/>
            <w:u w:val="single"/>
          </w:rPr>
          <w:t>Upstream Lab</w:t>
        </w:r>
      </w:hyperlink>
      <w:r>
        <w:t xml:space="preserve"> (a research lab based at St. Michael’s Hospital, Toronto, Ontario) the conversation highlighted both the promise of AI tools and the systemic gaps in how patients are included (or excluded) from the design and implementation of such technologies.</w:t>
      </w:r>
    </w:p>
    <w:p w14:paraId="20710D63" w14:textId="77777777" w:rsidR="00A8362E" w:rsidRDefault="00000000">
      <w:r>
        <w:rPr>
          <w:b/>
          <w:bCs/>
        </w:rPr>
        <w:t>Parsa Balalaie</w:t>
      </w:r>
      <w:r>
        <w:t xml:space="preserve"> opened the session by outlining the benefits of AI tools, from automating clinical documentation to identifying at-risk patients and supporting health system decision-making. He cautioned, however, that many AI tools are developed in isolation by technologists with little input from the people most affected: patients and clinicians. He underscored the risk of bias and public mistrust when patient voices are not meaningfully included, and described the potential for AI to support equity if developed collaboratively and responsibly.</w:t>
      </w:r>
    </w:p>
    <w:p w14:paraId="2C1B47B9" w14:textId="77777777" w:rsidR="00A8362E" w:rsidRDefault="00000000">
      <w:pPr>
        <w:pBdr>
          <w:top w:val="nil"/>
          <w:left w:val="nil"/>
          <w:bottom w:val="nil"/>
          <w:right w:val="nil"/>
          <w:between w:val="nil"/>
        </w:pBdr>
        <w:jc w:val="center"/>
        <w:rPr>
          <w:color w:val="006A78"/>
        </w:rPr>
      </w:pPr>
      <w:r>
        <w:rPr>
          <w:i/>
          <w:iCs/>
          <w:color w:val="006A78"/>
        </w:rPr>
        <w:t xml:space="preserve">“We found that even though these models are being built to serve patients, patient engagement in their development is still very rare.” </w:t>
      </w:r>
      <w:r>
        <w:rPr>
          <w:b/>
          <w:bCs/>
          <w:color w:val="006A78"/>
        </w:rPr>
        <w:t>~ Parsa Balalaie</w:t>
      </w:r>
    </w:p>
    <w:p w14:paraId="2D9B619B" w14:textId="77777777" w:rsidR="00A8362E" w:rsidRDefault="00000000">
      <w:r>
        <w:rPr>
          <w:b/>
          <w:bCs/>
        </w:rPr>
        <w:t>Julia Wiercigroch</w:t>
      </w:r>
      <w:r>
        <w:t xml:space="preserve"> discussed the importance of deep and sustained patient engagement across all phases of AI development. Drawing from a systematic review of over 700 studies, she found that only 5 percent included any form of patient engagement, and most did so at a minimal level. Julia emphasized the need for collaboration, empowerment and impact; the three pillars of effective patient engagement. She shared insights from focus groups with diverse patients who overwhelmingly supported involvement from the outset of AI projects, including tool design, testing and dissemination. Patients called for engagement that is </w:t>
      </w:r>
      <w:r>
        <w:lastRenderedPageBreak/>
        <w:t>intentional, diverse and non-tokenistic, and emphasized the need for training, flexible participation options and fair compensation.</w:t>
      </w:r>
    </w:p>
    <w:p w14:paraId="3CFC4DE4" w14:textId="77777777" w:rsidR="00A8362E" w:rsidRDefault="00000000">
      <w:pPr>
        <w:pBdr>
          <w:top w:val="nil"/>
          <w:left w:val="nil"/>
          <w:bottom w:val="nil"/>
          <w:right w:val="nil"/>
          <w:between w:val="nil"/>
        </w:pBdr>
        <w:jc w:val="center"/>
        <w:rPr>
          <w:color w:val="006A78"/>
        </w:rPr>
      </w:pPr>
      <w:r>
        <w:rPr>
          <w:i/>
          <w:iCs/>
          <w:color w:val="006A78"/>
        </w:rPr>
        <w:t>“We asked patients if they wanted to be engaged in AI development. The answer was a resounding yes. But they also told us to do it right: early, meaningfully, and with intention.”</w:t>
      </w:r>
      <w:r>
        <w:rPr>
          <w:color w:val="006A78"/>
        </w:rPr>
        <w:t xml:space="preserve"> </w:t>
      </w:r>
    </w:p>
    <w:p w14:paraId="3644E61A" w14:textId="77777777" w:rsidR="00A8362E" w:rsidRDefault="00000000">
      <w:pPr>
        <w:pBdr>
          <w:top w:val="nil"/>
          <w:left w:val="nil"/>
          <w:bottom w:val="nil"/>
          <w:right w:val="nil"/>
          <w:between w:val="nil"/>
        </w:pBdr>
        <w:jc w:val="center"/>
        <w:rPr>
          <w:color w:val="006A78"/>
        </w:rPr>
      </w:pPr>
      <w:r>
        <w:rPr>
          <w:b/>
          <w:bCs/>
          <w:color w:val="006A78"/>
        </w:rPr>
        <w:t>~ Julia Wiercigroch</w:t>
      </w:r>
    </w:p>
    <w:p w14:paraId="0C3C5382" w14:textId="77777777" w:rsidR="00A8362E" w:rsidRDefault="00000000">
      <w:r>
        <w:t xml:space="preserve">To guide future efforts, the Upstream Lab developed a practical </w:t>
      </w:r>
      <w:hyperlink r:id="rId15">
        <w:r>
          <w:rPr>
            <w:color w:val="0563C1"/>
            <w:u w:val="single"/>
          </w:rPr>
          <w:t xml:space="preserve">engagement framework </w:t>
        </w:r>
      </w:hyperlink>
      <w:r>
        <w:t>that outlines inclusive recruitment, flexible engagement methods and continuous evaluation. Parsa also introduced the Our Health Data platform, a public-facing tool designed to educate Canadians about their rights in data use and AI governance, while promoting shared responsibility across institutions.</w:t>
      </w:r>
    </w:p>
    <w:p w14:paraId="015C5076" w14:textId="77777777" w:rsidR="00A8362E" w:rsidRDefault="00000000">
      <w:r>
        <w:t>The session concluded with a call to shift AI development from being done for patients to being done with them. By embedding equity, transparency and trust into every stage, from data collection to policy, AI can evolve into a truly collaborative tool that reflects and responds to the people it aims to serve.</w:t>
      </w:r>
    </w:p>
    <w:p w14:paraId="4D87751D" w14:textId="77777777" w:rsidR="00A8362E" w:rsidRDefault="00000000">
      <w:pPr>
        <w:spacing w:before="240"/>
        <w:rPr>
          <w:color w:val="006A78"/>
          <w:u w:val="single"/>
        </w:rPr>
      </w:pPr>
      <w:hyperlink r:id="rId16">
        <w:r>
          <w:rPr>
            <w:color w:val="006A78"/>
            <w:u w:val="single"/>
          </w:rPr>
          <w:t>View the Ethical AI, Data Governance &amp; Guidelines for Patient Involvement session recording</w:t>
        </w:r>
      </w:hyperlink>
    </w:p>
    <w:p w14:paraId="60A4C6DB" w14:textId="77777777" w:rsidR="00A8362E" w:rsidRDefault="00000000">
      <w:pPr>
        <w:rPr>
          <w:rFonts w:ascii="Lato" w:eastAsia="Lato" w:hAnsi="Lato" w:cs="Lato"/>
          <w:b/>
          <w:bCs/>
          <w:color w:val="006A78"/>
          <w:sz w:val="36"/>
          <w:szCs w:val="36"/>
        </w:rPr>
      </w:pPr>
      <w:bookmarkStart w:id="8" w:name="_heading=h.qhuw5rdaamj3" w:colFirst="0" w:colLast="0"/>
      <w:bookmarkEnd w:id="8"/>
      <w:r>
        <w:br w:type="page"/>
      </w:r>
    </w:p>
    <w:p w14:paraId="2C6DA563" w14:textId="77777777" w:rsidR="00A8362E" w:rsidRDefault="00000000">
      <w:pPr>
        <w:pStyle w:val="Heading1"/>
      </w:pPr>
      <w:bookmarkStart w:id="9" w:name="_heading=h.b15r7cgbv80k" w:colFirst="0" w:colLast="0"/>
      <w:bookmarkEnd w:id="9"/>
      <w:r>
        <w:lastRenderedPageBreak/>
        <w:t>The Twilight of Bioethics? Regulatory Change and the Canadian Health Data Commons</w:t>
      </w:r>
    </w:p>
    <w:p w14:paraId="056E9B0A" w14:textId="77777777" w:rsidR="00A8362E" w:rsidRDefault="00000000">
      <w:pPr>
        <w:pStyle w:val="Heading4"/>
        <w:spacing w:before="240"/>
        <w:rPr>
          <w:i w:val="0"/>
          <w:iCs w:val="0"/>
          <w:color w:val="00274A"/>
        </w:rPr>
      </w:pPr>
      <w:r>
        <w:rPr>
          <w:i w:val="0"/>
          <w:iCs w:val="0"/>
          <w:color w:val="00274A"/>
        </w:rPr>
        <w:t xml:space="preserve">Presenter: </w:t>
      </w:r>
      <w:r>
        <w:rPr>
          <w:i w:val="0"/>
          <w:iCs w:val="0"/>
          <w:color w:val="00274A"/>
        </w:rPr>
        <w:br/>
      </w:r>
      <w:r>
        <w:rPr>
          <w:rFonts w:ascii="Lato" w:eastAsia="Lato" w:hAnsi="Lato" w:cs="Lato"/>
          <w:b/>
          <w:bCs/>
          <w:i w:val="0"/>
          <w:iCs w:val="0"/>
          <w:color w:val="00274A"/>
        </w:rPr>
        <w:t>Alexander Bernier</w:t>
      </w:r>
      <w:r>
        <w:rPr>
          <w:rFonts w:ascii="Lato" w:eastAsia="Lato" w:hAnsi="Lato" w:cs="Lato"/>
          <w:i w:val="0"/>
          <w:iCs w:val="0"/>
          <w:color w:val="00274A"/>
        </w:rPr>
        <w:t>, Doctor of Juridical Science candidate at University of Toronto Faculty of Law</w:t>
      </w:r>
    </w:p>
    <w:p w14:paraId="7F3E7A76" w14:textId="77777777" w:rsidR="00A8362E" w:rsidRDefault="00000000">
      <w:r>
        <w:t xml:space="preserve">This session examined the evolving landscape of health data regulation in Canada, with a focus on the growing shift from ethics-based frameworks to centralized data protection regimes. </w:t>
      </w:r>
      <w:r>
        <w:rPr>
          <w:b/>
          <w:bCs/>
        </w:rPr>
        <w:t>Alexander Bernier</w:t>
      </w:r>
      <w:r>
        <w:t>, a Montreal-based lawyer and researcher, unpacked the historical roots of privacy law and the consequences of this shift, highlighting the need for more inclusive, locally grounded data governance structures.</w:t>
      </w:r>
    </w:p>
    <w:p w14:paraId="1AED0B0A" w14:textId="77777777" w:rsidR="00A8362E" w:rsidRDefault="00000000">
      <w:r>
        <w:t xml:space="preserve">The session explored how health data governance in Canada is increasingly moving away from institutional ethics review boards (REBs) toward top-down regulation by privacy commissioners. He explained that even though privacy laws try to solve real problems like helping different parts of the health system share data, they can sometimes go too far. By focusing only on privacy, these laws might make people afraid to use data at all, which could slow down important things like health research, equity and improving public health. Privacy laws by themselves are not enough to deal with all the ethical, social and scientific issues that come up when health data are used for things like research or planning. Instead, he emphasized the need for flexible, inclusive groups like REBs and public/patient advisory committees that can make decisions based on the specific situations and help balance different priorities, such as privacy, public benefit and equity. </w:t>
      </w:r>
    </w:p>
    <w:p w14:paraId="12CD3003" w14:textId="77777777" w:rsidR="00A8362E" w:rsidRDefault="00000000">
      <w:r>
        <w:t>Drawing on examples from Canadian and European contexts, Alexander noted that current data access frameworks remain highly fragmented. Without coordination, institutions will continue to make inconsistent decisions that hinder large-scale, collaborative health research. He raised concern about giving too much regulatory power to centralized “data access bodies.” While these groups mean well, they often do not have the local knowledge or community trust needed to handle complex data-sharing decisions. Current privacy laws cannot keep up with fast-moving technologies like AI, and there is a need for data governance systems that are flexible, inclusive and shaped by real-world experience.</w:t>
      </w:r>
    </w:p>
    <w:p w14:paraId="64B7B177" w14:textId="77777777" w:rsidR="00A8362E" w:rsidRDefault="00A8362E"/>
    <w:p w14:paraId="761FFBEB" w14:textId="77777777" w:rsidR="00A8362E" w:rsidRDefault="00000000">
      <w:pPr>
        <w:pBdr>
          <w:top w:val="nil"/>
          <w:left w:val="nil"/>
          <w:bottom w:val="nil"/>
          <w:right w:val="nil"/>
          <w:between w:val="nil"/>
        </w:pBdr>
        <w:jc w:val="center"/>
        <w:rPr>
          <w:i/>
          <w:iCs/>
          <w:color w:val="006A78"/>
        </w:rPr>
      </w:pPr>
      <w:r>
        <w:rPr>
          <w:i/>
          <w:iCs/>
          <w:color w:val="006A78"/>
        </w:rPr>
        <w:t>“We need institutions where people can bring forward arguments—about privacy, equity, utility—and have them weighed and balanced, not just imposed by regulators at a distance.”</w:t>
      </w:r>
    </w:p>
    <w:p w14:paraId="44105078" w14:textId="77777777" w:rsidR="00A8362E" w:rsidRDefault="00000000">
      <w:pPr>
        <w:pBdr>
          <w:top w:val="nil"/>
          <w:left w:val="nil"/>
          <w:bottom w:val="nil"/>
          <w:right w:val="nil"/>
          <w:between w:val="nil"/>
        </w:pBdr>
        <w:jc w:val="center"/>
        <w:rPr>
          <w:b/>
          <w:bCs/>
          <w:color w:val="006A78"/>
        </w:rPr>
      </w:pPr>
      <w:r>
        <w:rPr>
          <w:b/>
          <w:bCs/>
          <w:color w:val="006A78"/>
        </w:rPr>
        <w:t>~ Alexander Bernier</w:t>
      </w:r>
    </w:p>
    <w:p w14:paraId="40EBED3A" w14:textId="77777777" w:rsidR="00A8362E" w:rsidRDefault="00000000">
      <w:r>
        <w:t>During the question and answer session, participants voiced concerns about differences in laws between provinces and territories, equity in data governance, and the need for truly inclusive processes. Alexander emphasized that while current ethics review structures are not perfect, they do a better job of bringing different perspectives together than top-down privacy laws. He urged that Canada should build on its existing institutional strengths, empower REBs and patient voices, and ensure shared decision-making across the entire data system.</w:t>
      </w:r>
    </w:p>
    <w:p w14:paraId="35F8978C" w14:textId="77777777" w:rsidR="00A8362E" w:rsidRDefault="00000000">
      <w:pPr>
        <w:spacing w:before="240"/>
        <w:rPr>
          <w:color w:val="006A78"/>
          <w:u w:val="single"/>
        </w:rPr>
      </w:pPr>
      <w:hyperlink r:id="rId17">
        <w:r>
          <w:rPr>
            <w:color w:val="006A78"/>
            <w:u w:val="single"/>
          </w:rPr>
          <w:t>View the Regulatory Change and the Canadian Health Data Commons session recording</w:t>
        </w:r>
      </w:hyperlink>
    </w:p>
    <w:p w14:paraId="1CDAA8A8" w14:textId="77777777" w:rsidR="00A8362E" w:rsidRDefault="00000000">
      <w:pPr>
        <w:rPr>
          <w:rFonts w:ascii="Lato" w:eastAsia="Lato" w:hAnsi="Lato" w:cs="Lato"/>
          <w:b/>
          <w:bCs/>
          <w:color w:val="006A78"/>
          <w:sz w:val="36"/>
          <w:szCs w:val="36"/>
        </w:rPr>
      </w:pPr>
      <w:bookmarkStart w:id="10" w:name="_heading=h.ix4ozws9nedk" w:colFirst="0" w:colLast="0"/>
      <w:bookmarkEnd w:id="10"/>
      <w:r>
        <w:br w:type="page"/>
      </w:r>
    </w:p>
    <w:p w14:paraId="0B8503DC" w14:textId="77777777" w:rsidR="00A8362E" w:rsidRDefault="00000000">
      <w:pPr>
        <w:pStyle w:val="Heading1"/>
        <w:spacing w:before="240"/>
      </w:pPr>
      <w:bookmarkStart w:id="11" w:name="_heading=h.48fxgnfwktxc" w:colFirst="0" w:colLast="0"/>
      <w:bookmarkEnd w:id="11"/>
      <w:r>
        <w:lastRenderedPageBreak/>
        <w:t>Framing Our Relations: Conversations and Considerations on AI use in Health Care and the First Nations Principles of OCAP</w:t>
      </w:r>
    </w:p>
    <w:p w14:paraId="08F1C5B3" w14:textId="77777777" w:rsidR="00A8362E" w:rsidRDefault="00000000">
      <w:pPr>
        <w:pStyle w:val="Heading4"/>
        <w:spacing w:before="240" w:after="0"/>
        <w:rPr>
          <w:i w:val="0"/>
          <w:iCs w:val="0"/>
          <w:color w:val="00274A"/>
        </w:rPr>
      </w:pPr>
      <w:bookmarkStart w:id="12" w:name="_heading=h.mu9a4huipo7m" w:colFirst="0" w:colLast="0"/>
      <w:bookmarkEnd w:id="12"/>
      <w:r>
        <w:rPr>
          <w:i w:val="0"/>
          <w:iCs w:val="0"/>
          <w:color w:val="00274A"/>
        </w:rPr>
        <w:t>Presenters:</w:t>
      </w:r>
    </w:p>
    <w:p w14:paraId="3E3A0F09" w14:textId="77777777" w:rsidR="00A8362E" w:rsidRDefault="00000000">
      <w:pPr>
        <w:pStyle w:val="Heading4"/>
        <w:spacing w:after="0"/>
        <w:rPr>
          <w:rFonts w:ascii="Lato" w:eastAsia="Lato" w:hAnsi="Lato" w:cs="Lato"/>
          <w:b/>
          <w:bCs/>
          <w:i w:val="0"/>
          <w:iCs w:val="0"/>
          <w:color w:val="00274A"/>
        </w:rPr>
      </w:pPr>
      <w:r>
        <w:rPr>
          <w:rFonts w:ascii="Lato" w:eastAsia="Lato" w:hAnsi="Lato" w:cs="Lato"/>
          <w:b/>
          <w:bCs/>
          <w:i w:val="0"/>
          <w:iCs w:val="0"/>
          <w:color w:val="00274A"/>
        </w:rPr>
        <w:t>Skylee-Storm Hogan-Stacey</w:t>
      </w:r>
      <w:r>
        <w:rPr>
          <w:rFonts w:ascii="Lato" w:eastAsia="Lato" w:hAnsi="Lato" w:cs="Lato"/>
          <w:i w:val="0"/>
          <w:iCs w:val="0"/>
          <w:color w:val="00274A"/>
        </w:rPr>
        <w:t>,</w:t>
      </w:r>
      <w:r>
        <w:rPr>
          <w:rFonts w:ascii="Lato" w:eastAsia="Lato" w:hAnsi="Lato" w:cs="Lato"/>
          <w:b/>
          <w:bCs/>
          <w:i w:val="0"/>
          <w:iCs w:val="0"/>
          <w:color w:val="00274A"/>
        </w:rPr>
        <w:t xml:space="preserve"> </w:t>
      </w:r>
      <w:r>
        <w:rPr>
          <w:rFonts w:ascii="Lato" w:eastAsia="Lato" w:hAnsi="Lato" w:cs="Lato"/>
          <w:i w:val="0"/>
          <w:iCs w:val="0"/>
          <w:color w:val="00274A"/>
        </w:rPr>
        <w:t>Senior Research Officer, Critical Data Studies (First Nations Information Governance Centre [FNIGC])</w:t>
      </w:r>
    </w:p>
    <w:p w14:paraId="545FB026" w14:textId="77777777" w:rsidR="00A8362E" w:rsidRDefault="00000000">
      <w:pPr>
        <w:pStyle w:val="Heading4"/>
        <w:spacing w:after="0"/>
        <w:rPr>
          <w:rFonts w:ascii="Lato" w:eastAsia="Lato" w:hAnsi="Lato" w:cs="Lato"/>
          <w:b/>
          <w:bCs/>
          <w:i w:val="0"/>
          <w:iCs w:val="0"/>
          <w:color w:val="00274A"/>
        </w:rPr>
      </w:pPr>
      <w:r>
        <w:rPr>
          <w:rFonts w:ascii="Lato" w:eastAsia="Lato" w:hAnsi="Lato" w:cs="Lato"/>
          <w:b/>
          <w:bCs/>
          <w:i w:val="0"/>
          <w:iCs w:val="0"/>
          <w:color w:val="00274A"/>
        </w:rPr>
        <w:t>Julie McIntosh</w:t>
      </w:r>
      <w:r>
        <w:rPr>
          <w:rFonts w:ascii="Lato" w:eastAsia="Lato" w:hAnsi="Lato" w:cs="Lato"/>
          <w:i w:val="0"/>
          <w:iCs w:val="0"/>
          <w:color w:val="00274A"/>
        </w:rPr>
        <w:t>, Knowledge Engagement Officer (FNIGC)</w:t>
      </w:r>
    </w:p>
    <w:p w14:paraId="75F58083" w14:textId="77777777" w:rsidR="00A8362E" w:rsidRDefault="00000000">
      <w:pPr>
        <w:pStyle w:val="Heading4"/>
      </w:pPr>
      <w:r>
        <w:rPr>
          <w:rFonts w:ascii="Lato" w:eastAsia="Lato" w:hAnsi="Lato" w:cs="Lato"/>
          <w:b/>
          <w:bCs/>
          <w:i w:val="0"/>
          <w:iCs w:val="0"/>
          <w:color w:val="00274A"/>
        </w:rPr>
        <w:t>Savannah LaBelle</w:t>
      </w:r>
      <w:r>
        <w:rPr>
          <w:rFonts w:ascii="Lato" w:eastAsia="Lato" w:hAnsi="Lato" w:cs="Lato"/>
          <w:i w:val="0"/>
          <w:iCs w:val="0"/>
          <w:color w:val="00274A"/>
        </w:rPr>
        <w:t>, Senior Coordinator, Research Projects (FNIGC)</w:t>
      </w:r>
    </w:p>
    <w:p w14:paraId="66501234" w14:textId="77777777" w:rsidR="00A8362E" w:rsidRDefault="00000000">
      <w:r>
        <w:t>This closing session brought together researchers from the First Nations Information Governance Centre (FNIGC) to explore the ethical, cultural, and environmental considerations of using AI in health care through the lens of First Nations data sovereignty and the OCAP® principles—Ownership, Control, Access and Possession. The discussion emphasized the importance of ensuring First Nations communities are not only consulted but are the primary decision-makers in how their data are collected, stored, used, and interpreted—especially in the era of AI.</w:t>
      </w:r>
    </w:p>
    <w:p w14:paraId="28D75565" w14:textId="77777777" w:rsidR="00A8362E" w:rsidRDefault="00000000">
      <w:r>
        <w:rPr>
          <w:b/>
          <w:bCs/>
        </w:rPr>
        <w:t>Savannah LaBelle</w:t>
      </w:r>
      <w:r>
        <w:t xml:space="preserve"> introduced FNIGC’s mission to support First Nations in achieving data sovereignty aligned with their own worldviews, practices and priorities. She described FNIGC’s broad scope of work, including national health surveys, applied research and capacity-building efforts like the OCAP® training course. </w:t>
      </w:r>
    </w:p>
    <w:p w14:paraId="67F3CADF" w14:textId="77777777" w:rsidR="00A8362E" w:rsidRDefault="00000000">
      <w:r>
        <w:rPr>
          <w:b/>
          <w:bCs/>
        </w:rPr>
        <w:t>Skylee Storm Hogan-Stacey</w:t>
      </w:r>
      <w:r>
        <w:t xml:space="preserve"> provided a deep dive into each OCAP® principle, outlining how they apply specifically to First Nations data—not just about individuals but also about land, water and community knowledge. She explained that while open data is often encouraged in research and AI, it frequently conflicts with the rights of First Nations to control and protect their own information.</w:t>
      </w:r>
    </w:p>
    <w:p w14:paraId="0EBABC49" w14:textId="77777777" w:rsidR="00A8362E" w:rsidRDefault="00A8362E"/>
    <w:p w14:paraId="2CD5E5E2" w14:textId="77777777" w:rsidR="00A8362E" w:rsidRDefault="00000000">
      <w:pPr>
        <w:pBdr>
          <w:top w:val="nil"/>
          <w:left w:val="nil"/>
          <w:bottom w:val="nil"/>
          <w:right w:val="nil"/>
          <w:between w:val="nil"/>
        </w:pBdr>
        <w:jc w:val="center"/>
        <w:rPr>
          <w:color w:val="006A78"/>
        </w:rPr>
      </w:pPr>
      <w:r>
        <w:rPr>
          <w:i/>
          <w:iCs/>
          <w:color w:val="006A78"/>
        </w:rPr>
        <w:t xml:space="preserve">“We need to consider more than just laws made for Canadians. First Nations are rights holders under Section 35 (Constitution Act, 1982), with their own priorities, values, and laws.” </w:t>
      </w:r>
      <w:r>
        <w:rPr>
          <w:i/>
          <w:iCs/>
          <w:color w:val="006A78"/>
        </w:rPr>
        <w:br/>
      </w:r>
      <w:r>
        <w:rPr>
          <w:b/>
          <w:bCs/>
          <w:color w:val="006A78"/>
        </w:rPr>
        <w:t>~ Skylee Storm Hogan-Stacey</w:t>
      </w:r>
    </w:p>
    <w:p w14:paraId="24E0CCC5" w14:textId="77777777" w:rsidR="00A8362E" w:rsidRDefault="00000000">
      <w:r>
        <w:rPr>
          <w:b/>
          <w:bCs/>
        </w:rPr>
        <w:lastRenderedPageBreak/>
        <w:t>Julie McIntosh</w:t>
      </w:r>
      <w:r>
        <w:t xml:space="preserve"> engaged the participants in reflecting on the implications of AI through interactive Slido exercises, on the elements that affect the implementation of OCAP®: data ownership, access to health data and data protection. They raised concerns about the use of third-party AI platforms and the ethical implications of storing Indigenous health data on cloud servers, especially when some communities lack the infrastructure to control their own data locally. The session also explored how language, cultural context and historical trauma impact Indigenous experiences with health care and technology, underscoring the need for community-specific AI solutions that are opt-in, culturally relevant and transparently governed.</w:t>
      </w:r>
    </w:p>
    <w:p w14:paraId="5F1C67D9" w14:textId="77777777" w:rsidR="00A8362E" w:rsidRDefault="00000000">
      <w:r>
        <w:rPr>
          <w:b/>
          <w:bCs/>
        </w:rPr>
        <w:t>Maria Santos</w:t>
      </w:r>
      <w:r>
        <w:t xml:space="preserve"> shared updates on the rollout of FNIGC’s national data governance strategy, emphasizing that First Nations, not FNIGC, are the rights holders and must remain in control of governance decisions. The strategy focuses on helping communities build the tools, knowledge and decision-making power they need to manage their own data. This is being done through pilot projects in different regions that show how First Nations-led data governance can work in practice.</w:t>
      </w:r>
    </w:p>
    <w:p w14:paraId="5FC8D835" w14:textId="77777777" w:rsidR="00A8362E" w:rsidRDefault="00000000">
      <w:r>
        <w:t>During the question and answer session, the panelists responded to participant questions with critical concerns about AI systems being trained on biased or misrepresentative data, which can lead to the spread and consolidation of harmful stereotypes. They also pointed out the environmental impact of AI, especially the large amounts of land and water used by data centers. At the same time, they highlighted some positive possibilities like using AI tools to help revive Indigenous languages or to offer companionship to Indigenous people living in urban settings who may feel isolated from their communities.</w:t>
      </w:r>
    </w:p>
    <w:p w14:paraId="371B4411" w14:textId="77777777" w:rsidR="00A8362E" w:rsidRDefault="00000000">
      <w:pPr>
        <w:pBdr>
          <w:top w:val="nil"/>
          <w:left w:val="nil"/>
          <w:bottom w:val="nil"/>
          <w:right w:val="nil"/>
          <w:between w:val="nil"/>
        </w:pBdr>
        <w:jc w:val="center"/>
        <w:rPr>
          <w:color w:val="006A78"/>
        </w:rPr>
      </w:pPr>
      <w:r>
        <w:rPr>
          <w:i/>
          <w:iCs/>
          <w:color w:val="006A78"/>
        </w:rPr>
        <w:t xml:space="preserve">“A lot of people are really worried about the misrepresentation. A lot of people are worried too that there is an underrepresentation of Indigenous People who are designing these LLMs (large language models) and who are designing AI generally. They are worried that underrepresentation is going to lead to further discrimination and bias in the models.”                </w:t>
      </w:r>
      <w:r>
        <w:rPr>
          <w:b/>
          <w:bCs/>
          <w:color w:val="006A78"/>
        </w:rPr>
        <w:t>~ Skylee Storm Hogan-Stacey</w:t>
      </w:r>
    </w:p>
    <w:p w14:paraId="2C0F1FB6" w14:textId="77777777" w:rsidR="00A8362E" w:rsidRDefault="00000000">
      <w:r>
        <w:t xml:space="preserve">The session ended with a clear message that AI should be created with Indigenous communities, not just for them. This means building long-term relationships, designing </w:t>
      </w:r>
      <w:r>
        <w:lastRenderedPageBreak/>
        <w:t>technology together in respectful and ethical ways, and prioritizing and investing in Indigenous leadership and control over their own digital tools and data.</w:t>
      </w:r>
    </w:p>
    <w:p w14:paraId="5B40534B" w14:textId="77777777" w:rsidR="00A8362E" w:rsidRDefault="00A8362E">
      <w:pPr>
        <w:rPr>
          <w:color w:val="006A78"/>
          <w:u w:val="single"/>
        </w:rPr>
      </w:pPr>
    </w:p>
    <w:p w14:paraId="4DC85DB4" w14:textId="77777777" w:rsidR="00A8362E" w:rsidRDefault="00000000">
      <w:r>
        <w:br w:type="page"/>
      </w:r>
    </w:p>
    <w:p w14:paraId="1ABFAD17" w14:textId="77777777" w:rsidR="00A8362E" w:rsidRDefault="00000000">
      <w:pPr>
        <w:pStyle w:val="Heading1"/>
      </w:pPr>
      <w:bookmarkStart w:id="13" w:name="_heading=h.52tasp8alc9h" w:colFirst="0" w:colLast="0"/>
      <w:bookmarkEnd w:id="13"/>
      <w:r>
        <w:lastRenderedPageBreak/>
        <w:t>Reflections &amp; Looking Ahead</w:t>
      </w:r>
    </w:p>
    <w:p w14:paraId="46601802" w14:textId="77777777" w:rsidR="00A8362E" w:rsidRDefault="00000000">
      <w:r>
        <w:rPr>
          <w:i/>
          <w:iCs/>
        </w:rPr>
        <w:t>Health Data for All of Us: The Role of AI in Health</w:t>
      </w:r>
      <w:r>
        <w:t xml:space="preserve"> created space for dialogue among public and patient partners, researchers, technology experts, Indigenous leaders and other interest holders to reflect on how AI is shaping the future of health care and data systems in Canada. Through panel discussions, lived experience stories and expert perspectives, discussions throughout the day highlighted both the promise and risks of AI. Participants emphasized the need for inclusive, ethical and community-driven approaches to health innovation and technology integration in Canadian health systems. The hybrid format enabled broad participation and meaningful dialogue among attendees from across regions, disciplines, and communities.</w:t>
      </w:r>
    </w:p>
    <w:p w14:paraId="6F85D798" w14:textId="77777777" w:rsidR="00A8362E" w:rsidRDefault="00000000">
      <w:r>
        <w:t>Important themes emerged from the Forum, and HDRN Canada, including the Public Engagement Working Group and Public Advisory Council, will continue exploring the intersections of AI, health data and health equity. These themes include the importance of supporting ethical applications of AI in health care, ensuring that technologies meaningfully reduce burdens without creating new pressures, promoting equitable access and culturally grounded tools, embedding transparency, trust, and community involvement in AI development, and strengthening inclusive governance models that are responsive to lived experience</w:t>
      </w:r>
    </w:p>
    <w:p w14:paraId="7CACDE5F" w14:textId="77777777" w:rsidR="00A8362E" w:rsidRDefault="00000000">
      <w:r>
        <w:t xml:space="preserve">As HDRN Canada moves forward, the Public Engagement Working Group and Public Advisory Council (PAC) commit to highlighting the themes that emerged from the Forum (see full list below). These include the importance of supporting ethical applications of AI in health care, ensuring that technologies meaningfully reduce burdens without creating new pressures, promoting equitable access and culturally grounded tools, embedding transparency, trust, and community involvement in AI development, and strengthening inclusive governance models that are responsive to lived experience. </w:t>
      </w:r>
    </w:p>
    <w:p w14:paraId="0EDBE1F8" w14:textId="77777777" w:rsidR="00A8362E" w:rsidRDefault="00000000">
      <w:r>
        <w:t xml:space="preserve">Throughout the day, speakers and participants reiterated that AI and emerging technologies must be co-developed with the public and patients, Indigenous communities and systemically </w:t>
      </w:r>
      <w:r>
        <w:lastRenderedPageBreak/>
        <w:t xml:space="preserve">underrepresented groups to ensure they meaningfully serve the public. These insights are foundational to building public trust and an inclusive health data environment. </w:t>
      </w:r>
    </w:p>
    <w:p w14:paraId="24789986" w14:textId="77777777" w:rsidR="00A8362E" w:rsidRDefault="00000000">
      <w:r>
        <w:t>Looking ahead, the Public Engagement Working Group and PAC will work closely with other HDRN Canada teams and working groups to turn the Forum’s insights into concrete strategies. These collaborations will help ensure that our future work will be focused on strengthening public engagement and supporting a more ethical and inclusive future for health data and AI in Canada that fulfills the needs and priorities of the public.</w:t>
      </w:r>
      <w:r>
        <w:br w:type="page"/>
      </w:r>
    </w:p>
    <w:p w14:paraId="41A66686" w14:textId="77777777" w:rsidR="00A8362E" w:rsidRDefault="00000000">
      <w:pPr>
        <w:pStyle w:val="Heading2"/>
      </w:pPr>
      <w:bookmarkStart w:id="14" w:name="_heading=h.8xjhvd6x5ycy" w:colFirst="0" w:colLast="0"/>
      <w:bookmarkEnd w:id="14"/>
      <w:r>
        <w:lastRenderedPageBreak/>
        <w:t>Health Data for All of Us: Key Themes &amp; Reflections</w:t>
      </w:r>
    </w:p>
    <w:p w14:paraId="27B7E90A" w14:textId="77777777" w:rsidR="00A8362E" w:rsidRDefault="00000000">
      <w:pPr>
        <w:rPr>
          <w:b/>
          <w:bCs/>
        </w:rPr>
      </w:pPr>
      <w:r>
        <w:rPr>
          <w:b/>
          <w:bCs/>
        </w:rPr>
        <w:t xml:space="preserve">Supporting Ethical Applications of AI in Healthcare: </w:t>
      </w:r>
      <w:r>
        <w:t>How can AI tools be implemented in ways that improve care while upholding safety, equity, and accountability?</w:t>
      </w:r>
    </w:p>
    <w:p w14:paraId="5573ED9D" w14:textId="77777777" w:rsidR="00A8362E" w:rsidRDefault="00000000">
      <w:pPr>
        <w:rPr>
          <w:b/>
          <w:bCs/>
        </w:rPr>
      </w:pPr>
      <w:r>
        <w:rPr>
          <w:b/>
          <w:bCs/>
        </w:rPr>
        <w:t xml:space="preserve">Reducing Burdens Without Creating New Barriers: </w:t>
      </w:r>
      <w:r>
        <w:t>What measures are needed to ensure that AI reduces burdens on clinicians and patients without overwhelming them with new expectations, or reducing quality of care?</w:t>
      </w:r>
    </w:p>
    <w:p w14:paraId="5B6F76BA" w14:textId="77777777" w:rsidR="00A8362E" w:rsidRDefault="00000000">
      <w:r>
        <w:rPr>
          <w:b/>
          <w:bCs/>
        </w:rPr>
        <w:t xml:space="preserve">Equity and Cultural Safety in AI: </w:t>
      </w:r>
      <w:r>
        <w:t>What steps and guidelines are needed for AI models and tools to be made equitable, accessible, inclusive, and reflective of the cultural and contextual needs of diverse communities?</w:t>
      </w:r>
    </w:p>
    <w:p w14:paraId="5E2A9D7A" w14:textId="77777777" w:rsidR="00A8362E" w:rsidRDefault="00000000">
      <w:r>
        <w:rPr>
          <w:b/>
          <w:bCs/>
        </w:rPr>
        <w:t xml:space="preserve">Trustworthy and Community-centric AI Development: </w:t>
      </w:r>
      <w:r>
        <w:t>What frameworks are needed to operationalize openness, collaboration, and accountability in AI development to earn and maintain public trust? Do such frameworks already exist?</w:t>
      </w:r>
    </w:p>
    <w:p w14:paraId="23E83E58" w14:textId="77777777" w:rsidR="00A8362E" w:rsidRDefault="00000000">
      <w:r>
        <w:rPr>
          <w:b/>
          <w:bCs/>
        </w:rPr>
        <w:t xml:space="preserve">Lived Experience in Governance: </w:t>
      </w:r>
      <w:r>
        <w:t>What role can we play in strengthening governance models to make them responsive to lived experiences and promote collaborative decision-making across networks and communities?</w:t>
      </w:r>
    </w:p>
    <w:p w14:paraId="1FAC7476" w14:textId="77777777" w:rsidR="00A8362E" w:rsidRDefault="00000000">
      <w:r>
        <w:rPr>
          <w:b/>
          <w:bCs/>
        </w:rPr>
        <w:t xml:space="preserve">Supporting Indigenous-led uses of Indigenous data to advance reconciliation: </w:t>
      </w:r>
      <w:r>
        <w:t>How can we contribute to the advancement and prioritization of Indigenous-led data sovereignty initiatives, particularly when considering the use of Indigenous data in AI?</w:t>
      </w:r>
    </w:p>
    <w:p w14:paraId="35FC9913" w14:textId="77777777" w:rsidR="00A8362E" w:rsidRDefault="00A8362E"/>
    <w:sectPr w:rsidR="00A8362E">
      <w:footerReference w:type="even" r:id="rId18"/>
      <w:footerReference w:type="default" r:id="rId19"/>
      <w:footerReference w:type="first" r:id="rId20"/>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F4D74" w14:textId="77777777" w:rsidR="00A9576E" w:rsidRDefault="00A9576E">
      <w:pPr>
        <w:spacing w:after="0" w:line="240" w:lineRule="auto"/>
      </w:pPr>
      <w:r>
        <w:separator/>
      </w:r>
    </w:p>
  </w:endnote>
  <w:endnote w:type="continuationSeparator" w:id="0">
    <w:p w14:paraId="1A85EB3A" w14:textId="77777777" w:rsidR="00A9576E" w:rsidRDefault="00A957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embedRegular r:id="rId1" w:fontKey="{23CAB0EE-65ED-704B-824F-663F32840F3F}"/>
  </w:font>
  <w:font w:name="Courier New">
    <w:panose1 w:val="02070309020205020404"/>
    <w:charset w:val="00"/>
    <w:family w:val="modern"/>
    <w:pitch w:val="fixed"/>
    <w:sig w:usb0="E0002EFF" w:usb1="C0007843" w:usb2="00000009" w:usb3="00000000" w:csb0="000001FF" w:csb1="00000000"/>
    <w:embedRegular r:id="rId2" w:fontKey="{E2C79060-8B29-6E4F-BF0E-AF1F4C0764C0}"/>
  </w:font>
  <w:font w:name="Arial">
    <w:panose1 w:val="020B0604020202020204"/>
    <w:charset w:val="00"/>
    <w:family w:val="swiss"/>
    <w:pitch w:val="variable"/>
    <w:sig w:usb0="E0002EFF" w:usb1="C000785B" w:usb2="00000009" w:usb3="00000000" w:csb0="000001FF" w:csb1="00000000"/>
    <w:embedRegular r:id="rId3" w:fontKey="{CD7EE306-8CAC-5944-97B8-06ED859C9958}"/>
    <w:embedBold r:id="rId4" w:fontKey="{7F030D83-7962-4B41-B838-47394BA1B922}"/>
    <w:embedItalic r:id="rId5" w:fontKey="{560912B5-A7BC-5744-B921-EB819C216283}"/>
    <w:embedBoldItalic r:id="rId6" w:fontKey="{2F4279A8-922A-214F-8575-20D28C364AD7}"/>
  </w:font>
  <w:font w:name="Lato">
    <w:panose1 w:val="020F0502020204030203"/>
    <w:charset w:val="4D"/>
    <w:family w:val="swiss"/>
    <w:pitch w:val="variable"/>
    <w:sig w:usb0="800000AF" w:usb1="4000604A" w:usb2="00000000" w:usb3="00000000" w:csb0="00000093" w:csb1="00000000"/>
    <w:embedRegular r:id="rId7" w:fontKey="{AE672723-208A-EA46-923D-921E83118EDA}"/>
    <w:embedBold r:id="rId8" w:fontKey="{9A057F53-25D5-C543-89AF-ACC2704D6C59}"/>
  </w:font>
  <w:font w:name="Times New Roman">
    <w:panose1 w:val="02020603050405020304"/>
    <w:charset w:val="00"/>
    <w:family w:val="roman"/>
    <w:pitch w:val="variable"/>
    <w:sig w:usb0="E0002EFF" w:usb1="C000785B" w:usb2="00000009" w:usb3="00000000" w:csb0="000001FF" w:csb1="00000000"/>
    <w:embedRegular r:id="rId9" w:fontKey="{9384CB1F-34B2-884E-9E20-093FE37B744B}"/>
    <w:embedBold r:id="rId10" w:fontKey="{96825348-EA50-3443-8C6B-E2DF3B770BBA}"/>
    <w:embedItalic r:id="rId11" w:fontKey="{23ECC0DA-4F49-F546-948C-D8F0FF6EFB24}"/>
  </w:font>
  <w:font w:name="Consolas">
    <w:panose1 w:val="020B0609020204030204"/>
    <w:charset w:val="00"/>
    <w:family w:val="modern"/>
    <w:pitch w:val="fixed"/>
    <w:sig w:usb0="E10002FF" w:usb1="4000FCFF" w:usb2="00000009" w:usb3="00000000" w:csb0="0000019F" w:csb1="00000000"/>
    <w:embedRegular r:id="rId12" w:fontKey="{B87D8EEE-6EC4-F248-8B1D-8E88E5A52A8D}"/>
  </w:font>
  <w:font w:name="Calibri">
    <w:panose1 w:val="020F0502020204030204"/>
    <w:charset w:val="00"/>
    <w:family w:val="swiss"/>
    <w:pitch w:val="variable"/>
    <w:sig w:usb0="E4002EFF" w:usb1="C200247B" w:usb2="00000009" w:usb3="00000000" w:csb0="000001FF" w:csb1="00000000"/>
    <w:embedRegular r:id="rId13" w:fontKey="{6D3E9B12-F50B-1C4A-9E48-DB4A1F6E7C04}"/>
    <w:embedBold r:id="rId14" w:fontKey="{8DF054E2-64ED-0142-A65B-0747C97ECFA0}"/>
  </w:font>
  <w:font w:name="Cambria">
    <w:panose1 w:val="02040503050406030204"/>
    <w:charset w:val="00"/>
    <w:family w:val="roman"/>
    <w:pitch w:val="variable"/>
    <w:sig w:usb0="E00006FF" w:usb1="420024FF" w:usb2="02000000" w:usb3="00000000" w:csb0="0000019F" w:csb1="00000000"/>
    <w:embedRegular r:id="rId15" w:fontKey="{ABA29FCB-14DC-3849-955E-197FC082CD68}"/>
  </w:font>
  <w:font w:name="Franklin Gothic Book">
    <w:panose1 w:val="020B0503020102020204"/>
    <w:charset w:val="00"/>
    <w:family w:val="swiss"/>
    <w:pitch w:val="variable"/>
    <w:sig w:usb0="00000287" w:usb1="00000000" w:usb2="00000000" w:usb3="00000000" w:csb0="0000009F" w:csb1="00000000"/>
    <w:embedBold r:id="rId16" w:fontKey="{B84F2433-98BC-AD49-87D8-CB5C3E0D3AC7}"/>
  </w:font>
  <w:font w:name="Segoe UI">
    <w:panose1 w:val="020B0502040204020203"/>
    <w:charset w:val="00"/>
    <w:family w:val="swiss"/>
    <w:pitch w:val="variable"/>
    <w:sig w:usb0="E4002EFF" w:usb1="C000E47F" w:usb2="00000009" w:usb3="00000000" w:csb0="000001FF" w:csb1="00000000"/>
    <w:embedRegular r:id="rId17" w:fontKey="{DCDA8DA0-7E9F-624C-8C1C-607EAADA5555}"/>
  </w:font>
  <w:font w:name="Calibri Light">
    <w:panose1 w:val="020F0302020204030204"/>
    <w:charset w:val="00"/>
    <w:family w:val="swiss"/>
    <w:pitch w:val="variable"/>
    <w:sig w:usb0="E0002AFF" w:usb1="C000247B" w:usb2="00000009" w:usb3="00000000" w:csb0="000001FF" w:csb1="00000000"/>
    <w:embedRegular r:id="rId18" w:fontKey="{BD800B95-88A0-4243-8B7D-35E20038D16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0D878" w14:textId="77777777" w:rsidR="00A8362E" w:rsidRDefault="00000000">
    <w:pPr>
      <w:jc w:val="right"/>
    </w:pPr>
    <w:r>
      <w:fldChar w:fldCharType="begin"/>
    </w:r>
    <w:r>
      <w:instrText>PAGE</w:instrText>
    </w:r>
    <w:r>
      <w:fldChar w:fldCharType="separate"/>
    </w:r>
    <w:r>
      <w:fldChar w:fldCharType="end"/>
    </w:r>
  </w:p>
  <w:p w14:paraId="6C1D2F62" w14:textId="77777777" w:rsidR="00A8362E" w:rsidRDefault="00A8362E">
    <w:pPr>
      <w:ind w:right="360" w:firstLine="360"/>
    </w:pPr>
  </w:p>
  <w:p w14:paraId="36AFC0DB" w14:textId="77777777" w:rsidR="00A8362E" w:rsidRDefault="00A8362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4B555" w14:textId="77777777" w:rsidR="00A8362E" w:rsidRDefault="00000000">
    <w:pPr>
      <w:ind w:right="360" w:firstLine="360"/>
    </w:pPr>
    <w:r>
      <w:rPr>
        <w:noProof/>
      </w:rPr>
      <w:drawing>
        <wp:anchor distT="0" distB="0" distL="114300" distR="114300" simplePos="0" relativeHeight="251658240" behindDoc="0" locked="0" layoutInCell="1" hidden="0" allowOverlap="1" wp14:anchorId="0901C493" wp14:editId="23DEE78A">
          <wp:simplePos x="0" y="0"/>
          <wp:positionH relativeFrom="column">
            <wp:posOffset>-98057</wp:posOffset>
          </wp:positionH>
          <wp:positionV relativeFrom="paragraph">
            <wp:posOffset>58418</wp:posOffset>
          </wp:positionV>
          <wp:extent cx="3164840" cy="822960"/>
          <wp:effectExtent l="0" t="0" r="0" b="0"/>
          <wp:wrapSquare wrapText="bothSides" distT="0" distB="0" distL="114300" distR="114300"/>
          <wp:docPr id="1903986550"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081D3E3F" w14:textId="77777777" w:rsidR="00A8362E" w:rsidRDefault="00000000">
    <w:pPr>
      <w:jc w:val="right"/>
    </w:pPr>
    <w:r>
      <w:fldChar w:fldCharType="begin"/>
    </w:r>
    <w:r>
      <w:instrText>PAGE</w:instrText>
    </w:r>
    <w:r>
      <w:fldChar w:fldCharType="separate"/>
    </w:r>
    <w:r w:rsidR="000011CD">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4A184" w14:textId="77777777" w:rsidR="00A8362E" w:rsidRDefault="00000000">
    <w:r>
      <w:rPr>
        <w:noProof/>
      </w:rPr>
      <mc:AlternateContent>
        <mc:Choice Requires="wpg">
          <w:drawing>
            <wp:anchor distT="0" distB="0" distL="0" distR="0" simplePos="0" relativeHeight="251659264" behindDoc="1" locked="0" layoutInCell="1" hidden="0" allowOverlap="1" wp14:anchorId="39654C16" wp14:editId="7E24AF3F">
              <wp:simplePos x="0" y="0"/>
              <wp:positionH relativeFrom="column">
                <wp:posOffset>-2108198</wp:posOffset>
              </wp:positionH>
              <wp:positionV relativeFrom="paragraph">
                <wp:posOffset>-342898</wp:posOffset>
              </wp:positionV>
              <wp:extent cx="9334500" cy="3385185"/>
              <wp:effectExtent l="0" t="0" r="0" b="0"/>
              <wp:wrapNone/>
              <wp:docPr id="1903986549" name="Group 1903986549"/>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544483955" name="Group 544483955"/>
                      <wpg:cNvGrpSpPr/>
                      <wpg:grpSpPr>
                        <a:xfrm>
                          <a:off x="678750" y="2087408"/>
                          <a:ext cx="9334500" cy="3385185"/>
                          <a:chOff x="678750" y="2087400"/>
                          <a:chExt cx="9334500" cy="3385200"/>
                        </a:xfrm>
                      </wpg:grpSpPr>
                      <wps:wsp>
                        <wps:cNvPr id="1542414179" name="Rectangle 1542414179"/>
                        <wps:cNvSpPr/>
                        <wps:spPr>
                          <a:xfrm>
                            <a:off x="678750" y="2087400"/>
                            <a:ext cx="9334500" cy="3385200"/>
                          </a:xfrm>
                          <a:prstGeom prst="rect">
                            <a:avLst/>
                          </a:prstGeom>
                          <a:noFill/>
                          <a:ln>
                            <a:noFill/>
                          </a:ln>
                        </wps:spPr>
                        <wps:txbx>
                          <w:txbxContent>
                            <w:p w14:paraId="10F4BA7A"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g:grpSp>
                        <wpg:cNvPr id="683816189" name="Group 683816189"/>
                        <wpg:cNvGrpSpPr/>
                        <wpg:grpSpPr>
                          <a:xfrm>
                            <a:off x="678750" y="2087408"/>
                            <a:ext cx="9334500" cy="3385185"/>
                            <a:chOff x="678750" y="2087400"/>
                            <a:chExt cx="9334500" cy="3385200"/>
                          </a:xfrm>
                        </wpg:grpSpPr>
                        <wps:wsp>
                          <wps:cNvPr id="878671478" name="Rectangle 878671478"/>
                          <wps:cNvSpPr/>
                          <wps:spPr>
                            <a:xfrm>
                              <a:off x="678750" y="2087400"/>
                              <a:ext cx="9334500" cy="3385200"/>
                            </a:xfrm>
                            <a:prstGeom prst="rect">
                              <a:avLst/>
                            </a:prstGeom>
                            <a:noFill/>
                            <a:ln>
                              <a:noFill/>
                            </a:ln>
                          </wps:spPr>
                          <wps:txbx>
                            <w:txbxContent>
                              <w:p w14:paraId="54710266"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g:grpSp>
                          <wpg:cNvPr id="625386929" name="Group 625386929"/>
                          <wpg:cNvGrpSpPr/>
                          <wpg:grpSpPr>
                            <a:xfrm>
                              <a:off x="678750" y="2087408"/>
                              <a:ext cx="9334500" cy="3385185"/>
                              <a:chOff x="678750" y="2087400"/>
                              <a:chExt cx="9334500" cy="3385200"/>
                            </a:xfrm>
                          </wpg:grpSpPr>
                          <wps:wsp>
                            <wps:cNvPr id="745821752" name="Rectangle 745821752"/>
                            <wps:cNvSpPr/>
                            <wps:spPr>
                              <a:xfrm>
                                <a:off x="678750" y="2087400"/>
                                <a:ext cx="9334500" cy="3385200"/>
                              </a:xfrm>
                              <a:prstGeom prst="rect">
                                <a:avLst/>
                              </a:prstGeom>
                              <a:noFill/>
                              <a:ln>
                                <a:noFill/>
                              </a:ln>
                            </wps:spPr>
                            <wps:txbx>
                              <w:txbxContent>
                                <w:p w14:paraId="5B1549F3"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g:grpSp>
                            <wpg:cNvPr id="1097460461" name="Group 1097460461"/>
                            <wpg:cNvGrpSpPr/>
                            <wpg:grpSpPr>
                              <a:xfrm rot="10800000">
                                <a:off x="678750" y="2087408"/>
                                <a:ext cx="9334500" cy="3385185"/>
                                <a:chOff x="-7144" y="-7144"/>
                                <a:chExt cx="6005513" cy="1924050"/>
                              </a:xfrm>
                            </wpg:grpSpPr>
                            <wps:wsp>
                              <wps:cNvPr id="2030080955" name="Rectangle 2030080955"/>
                              <wps:cNvSpPr/>
                              <wps:spPr>
                                <a:xfrm>
                                  <a:off x="-7144" y="-7144"/>
                                  <a:ext cx="6005500" cy="1924050"/>
                                </a:xfrm>
                                <a:prstGeom prst="rect">
                                  <a:avLst/>
                                </a:prstGeom>
                                <a:noFill/>
                                <a:ln>
                                  <a:noFill/>
                                </a:ln>
                              </wps:spPr>
                              <wps:txbx>
                                <w:txbxContent>
                                  <w:p w14:paraId="7D205BC6"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s:wsp>
                              <wps:cNvPr id="1915655429" name="Freeform 1915655429"/>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56858F87"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s:wsp>
                              <wps:cNvPr id="1344351362" name="Freeform 1344351362"/>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1AE00C2A"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s:wsp>
                              <wps:cNvPr id="1707575440" name="Freeform 1707575440"/>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38AB59ED"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s:wsp>
                              <wps:cNvPr id="322118852" name="Freeform 322118852"/>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14CC1AA" w14:textId="77777777" w:rsidR="00A8362E" w:rsidRDefault="00A8362E">
                                    <w:pPr>
                                      <w:spacing w:after="0" w:line="240" w:lineRule="auto"/>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-2108198</wp:posOffset>
              </wp:positionH>
              <wp:positionV relativeFrom="paragraph">
                <wp:posOffset>-342898</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76952D40" w14:textId="77777777" w:rsidR="00A8362E" w:rsidRDefault="00000000">
    <w:r>
      <w:rPr>
        <w:noProof/>
      </w:rPr>
      <w:drawing>
        <wp:anchor distT="0" distB="0" distL="114300" distR="114300" simplePos="0" relativeHeight="251660288" behindDoc="0" locked="0" layoutInCell="1" hidden="0" allowOverlap="1" wp14:anchorId="6063FA1F" wp14:editId="767F693A">
          <wp:simplePos x="0" y="0"/>
          <wp:positionH relativeFrom="column">
            <wp:posOffset>3164840</wp:posOffset>
          </wp:positionH>
          <wp:positionV relativeFrom="paragraph">
            <wp:posOffset>26669</wp:posOffset>
          </wp:positionV>
          <wp:extent cx="3515995" cy="895985"/>
          <wp:effectExtent l="0" t="0" r="0" b="0"/>
          <wp:wrapNone/>
          <wp:docPr id="1903986551"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468A2" w14:textId="77777777" w:rsidR="00A9576E" w:rsidRDefault="00A9576E">
      <w:pPr>
        <w:spacing w:after="0" w:line="240" w:lineRule="auto"/>
      </w:pPr>
      <w:r>
        <w:separator/>
      </w:r>
    </w:p>
  </w:footnote>
  <w:footnote w:type="continuationSeparator" w:id="0">
    <w:p w14:paraId="7D9DB6C9" w14:textId="77777777" w:rsidR="00A9576E" w:rsidRDefault="00A957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AC4648"/>
    <w:multiLevelType w:val="multilevel"/>
    <w:tmpl w:val="00D8B5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3343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45"/>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62E"/>
    <w:rsid w:val="000011CD"/>
    <w:rsid w:val="00A8362E"/>
    <w:rsid w:val="00A957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26B9FBF"/>
  <w15:docId w15:val="{E3424AAF-D00F-364F-8C99-CA2AC045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720" w:hanging="72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1">
    <w:name w:val="1"/>
    <w:basedOn w:val="TableNormal"/>
    <w:rPr>
      <w:sz w:val="22"/>
      <w:szCs w:val="22"/>
    </w:rPr>
    <w:tblPr>
      <w:tblStyleRowBandSize w:val="1"/>
      <w:tblStyleColBandSize w:val="1"/>
    </w:tblPr>
  </w:style>
  <w:style w:type="paragraph" w:styleId="Header">
    <w:name w:val="header"/>
    <w:basedOn w:val="Normal"/>
    <w:link w:val="HeaderChar"/>
    <w:uiPriority w:val="99"/>
    <w:unhideWhenUsed/>
    <w:rsid w:val="003B23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321"/>
    <w:rPr>
      <w:szCs w:val="22"/>
    </w:rPr>
  </w:style>
  <w:style w:type="character" w:styleId="CommentReference">
    <w:name w:val="annotation reference"/>
    <w:basedOn w:val="DefaultParagraphFont"/>
    <w:uiPriority w:val="99"/>
    <w:semiHidden/>
    <w:unhideWhenUsed/>
    <w:rsid w:val="00EE3CB4"/>
    <w:rPr>
      <w:sz w:val="16"/>
      <w:szCs w:val="16"/>
    </w:rPr>
  </w:style>
  <w:style w:type="paragraph" w:styleId="CommentText">
    <w:name w:val="annotation text"/>
    <w:basedOn w:val="Normal"/>
    <w:link w:val="CommentTextChar"/>
    <w:uiPriority w:val="99"/>
    <w:unhideWhenUsed/>
    <w:rsid w:val="00EE3CB4"/>
    <w:pPr>
      <w:spacing w:line="240" w:lineRule="auto"/>
    </w:pPr>
    <w:rPr>
      <w:sz w:val="20"/>
      <w:szCs w:val="20"/>
    </w:rPr>
  </w:style>
  <w:style w:type="character" w:customStyle="1" w:styleId="CommentTextChar">
    <w:name w:val="Comment Text Char"/>
    <w:basedOn w:val="DefaultParagraphFont"/>
    <w:link w:val="CommentText"/>
    <w:uiPriority w:val="99"/>
    <w:rsid w:val="00EE3CB4"/>
    <w:rPr>
      <w:sz w:val="20"/>
      <w:szCs w:val="20"/>
    </w:rPr>
  </w:style>
  <w:style w:type="paragraph" w:styleId="CommentSubject">
    <w:name w:val="annotation subject"/>
    <w:basedOn w:val="CommentText"/>
    <w:next w:val="CommentText"/>
    <w:link w:val="CommentSubjectChar"/>
    <w:uiPriority w:val="99"/>
    <w:semiHidden/>
    <w:unhideWhenUsed/>
    <w:rsid w:val="00EE3CB4"/>
    <w:rPr>
      <w:b/>
      <w:bCs/>
    </w:rPr>
  </w:style>
  <w:style w:type="character" w:customStyle="1" w:styleId="CommentSubjectChar">
    <w:name w:val="Comment Subject Char"/>
    <w:basedOn w:val="CommentTextChar"/>
    <w:link w:val="CommentSubject"/>
    <w:uiPriority w:val="99"/>
    <w:semiHidden/>
    <w:rsid w:val="00EE3CB4"/>
    <w:rPr>
      <w:b/>
      <w:bCs/>
      <w:sz w:val="20"/>
      <w:szCs w:val="20"/>
    </w:rPr>
  </w:style>
  <w:style w:type="paragraph" w:styleId="BalloonText">
    <w:name w:val="Balloon Text"/>
    <w:basedOn w:val="Normal"/>
    <w:link w:val="BalloonTextChar"/>
    <w:uiPriority w:val="99"/>
    <w:semiHidden/>
    <w:unhideWhenUsed/>
    <w:rsid w:val="00EE3C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3CB4"/>
    <w:rPr>
      <w:rFonts w:ascii="Segoe UI" w:hAnsi="Segoe UI" w:cs="Segoe UI"/>
      <w:sz w:val="18"/>
      <w:szCs w:val="18"/>
    </w:rPr>
  </w:style>
  <w:style w:type="character" w:styleId="Strong">
    <w:name w:val="Strong"/>
    <w:basedOn w:val="DefaultParagraphFont"/>
    <w:uiPriority w:val="22"/>
    <w:qFormat/>
    <w:rsid w:val="00C47610"/>
    <w:rPr>
      <w:b/>
      <w:bCs/>
    </w:rPr>
  </w:style>
  <w:style w:type="paragraph" w:styleId="Revision">
    <w:name w:val="Revision"/>
    <w:hidden/>
    <w:uiPriority w:val="99"/>
    <w:semiHidden/>
    <w:rsid w:val="00193B91"/>
    <w:pPr>
      <w:spacing w:after="0" w:line="240" w:lineRule="auto"/>
    </w:pPr>
    <w:rPr>
      <w:szCs w:val="22"/>
    </w:r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nigc.ca/ocap-training/" TargetMode="External"/><Relationship Id="rId13" Type="http://schemas.openxmlformats.org/officeDocument/2006/relationships/hyperlink" Target="https://www.youtube.com/watch?v=B9UCTPJnzfw"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youtube.com/watch?v=ZRLMjODu_pU" TargetMode="External"/><Relationship Id="rId17" Type="http://schemas.openxmlformats.org/officeDocument/2006/relationships/hyperlink" Target="https://www.youtube.com/watch?v=SW3ELYXbvqc" TargetMode="External"/><Relationship Id="rId2" Type="http://schemas.openxmlformats.org/officeDocument/2006/relationships/numbering" Target="numbering.xml"/><Relationship Id="rId16" Type="http://schemas.openxmlformats.org/officeDocument/2006/relationships/hyperlink" Target="https://www.youtube.com/watch?v=qvv84Zv2J9E"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RtfKXVWtVXE" TargetMode="External"/><Relationship Id="rId5" Type="http://schemas.openxmlformats.org/officeDocument/2006/relationships/webSettings" Target="webSettings.xml"/><Relationship Id="rId15" Type="http://schemas.openxmlformats.org/officeDocument/2006/relationships/hyperlink" Target="https://upstreamlab.org/ways-to-engage-patients-in-ai-healthcare-application-development/" TargetMode="External"/><Relationship Id="rId10" Type="http://schemas.openxmlformats.org/officeDocument/2006/relationships/hyperlink" Target="https://www.hdrn.ca/en/public/public-engagement-working-group/public-forum/agenda2025/"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hdrn.ca/en/public/public-engagement-working-group/public-forum/" TargetMode="External"/><Relationship Id="rId14" Type="http://schemas.openxmlformats.org/officeDocument/2006/relationships/hyperlink" Target="https://upstreamlab.org/"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9QiVV1iYzErO2S3U+Xua9YmQzA==">CgMxLjAaDQoBMBIICgYIBTICCAEaDQoBMRIICgYIBTICCAEaDQoBMhIICgYIBTICCAEyDmguOHF6b3FpeTRnaXJpMg5oLnZmYzhycWljZ2hyYzINaC5hdjMwMWx1bzVqNTIOaC40anU1ZzZpOXlhb2EyDWgubzZiaDlieG5kYjgyDmguNnlucjc3MjFvN2piMg5oLjVzeXI4MnZmdzhlNTIOaC5vOHIzeGNhdnVpM2syDmgucWh1dzVyZGFhbWozMg5oLmIxNXI3Y2didjgwazIOaC5peDRvendzOW5lZGsyDmguNDhmeGduZndrdHhjMg5oLm11OWE0aHVpcG83bTIOaC41MnRhc3A4YWxjOWgyDmguOHhqaHZkNng1eWN5OAByITFZMmNxQ2p2Z3RFWHpFbktIT3pUbVJHOTB1akFTQzhi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4037</Words>
  <Characters>23011</Characters>
  <Application>Microsoft Office Word</Application>
  <DocSecurity>2</DocSecurity>
  <Lines>191</Lines>
  <Paragraphs>53</Paragraphs>
  <ScaleCrop>false</ScaleCrop>
  <Company/>
  <LinksUpToDate>false</LinksUpToDate>
  <CharactersWithSpaces>26995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2025-08-05T11:52:00Z</dcterms:created>
  <dcterms:modified xsi:type="dcterms:W3CDTF">2025-11-11T18:30:00Z</dcterms:modified>
</cp:coreProperties>
</file>