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6A483" w14:textId="77777777" w:rsidR="00BF61E2" w:rsidRDefault="00000000">
      <w:pPr>
        <w:pStyle w:val="Title"/>
        <w:rPr>
          <w:color w:val="00274A"/>
        </w:rPr>
      </w:pPr>
      <w:r>
        <w:rPr>
          <w:color w:val="00274A"/>
        </w:rPr>
        <w:t>RRDS Canada</w:t>
      </w:r>
    </w:p>
    <w:p w14:paraId="1AE23BB7" w14:textId="77777777" w:rsidR="00BF61E2" w:rsidRDefault="00000000">
      <w:pPr>
        <w:pStyle w:val="Subtitle"/>
        <w:spacing w:before="240"/>
      </w:pPr>
      <w:r>
        <w:rPr>
          <w:sz w:val="56"/>
          <w:szCs w:val="56"/>
        </w:rPr>
        <w:t>Rapport de la directrice générale et directrice scientifique</w:t>
      </w:r>
    </w:p>
    <w:p w14:paraId="74199433" w14:textId="77777777" w:rsidR="00BF61E2" w:rsidRDefault="00000000">
      <w:pPr>
        <w:pBdr>
          <w:top w:val="nil"/>
          <w:left w:val="nil"/>
          <w:bottom w:val="nil"/>
          <w:right w:val="nil"/>
          <w:between w:val="nil"/>
        </w:pBdr>
        <w:spacing w:after="0" w:line="480" w:lineRule="auto"/>
        <w:rPr>
          <w:rFonts w:ascii="Lato" w:eastAsia="Lato" w:hAnsi="Lato" w:cs="Lato"/>
          <w:b/>
          <w:bCs/>
          <w:color w:val="00274A"/>
          <w:sz w:val="44"/>
          <w:szCs w:val="44"/>
        </w:rPr>
      </w:pPr>
      <w:r>
        <w:rPr>
          <w:rFonts w:ascii="Lato" w:eastAsia="Lato" w:hAnsi="Lato" w:cs="Lato"/>
          <w:b/>
          <w:bCs/>
          <w:color w:val="00274A"/>
          <w:sz w:val="44"/>
          <w:szCs w:val="44"/>
        </w:rPr>
        <w:t>Le 5 novembre 2025</w:t>
      </w:r>
      <w:r>
        <w:br w:type="page"/>
      </w:r>
    </w:p>
    <w:p w14:paraId="145755A0" w14:textId="77777777" w:rsidR="00BF61E2" w:rsidRDefault="00000000">
      <w:pPr>
        <w:pStyle w:val="Title"/>
        <w:spacing w:line="360" w:lineRule="auto"/>
        <w:ind w:right="-180"/>
        <w:rPr>
          <w:rFonts w:ascii="Arial" w:eastAsia="Arial" w:hAnsi="Arial" w:cs="Arial"/>
          <w:color w:val="006A78"/>
          <w:sz w:val="36"/>
          <w:szCs w:val="36"/>
        </w:rPr>
      </w:pPr>
      <w:bookmarkStart w:id="0" w:name="_heading=h.bwckca5ti5fj" w:colFirst="0" w:colLast="0"/>
      <w:bookmarkEnd w:id="0"/>
      <w:r>
        <w:rPr>
          <w:color w:val="006A78"/>
          <w:sz w:val="36"/>
          <w:szCs w:val="36"/>
        </w:rPr>
        <w:lastRenderedPageBreak/>
        <w:t>Table des matières</w:t>
      </w:r>
    </w:p>
    <w:sdt>
      <w:sdtPr>
        <w:id w:val="892314925"/>
        <w:docPartObj>
          <w:docPartGallery w:val="Table of Contents"/>
          <w:docPartUnique/>
        </w:docPartObj>
      </w:sdtPr>
      <w:sdtContent>
        <w:p w14:paraId="757CA095" w14:textId="77777777" w:rsidR="00BF61E2" w:rsidRDefault="00000000">
          <w:pPr>
            <w:widowControl w:val="0"/>
            <w:tabs>
              <w:tab w:val="right" w:pos="12000"/>
            </w:tabs>
            <w:spacing w:before="60" w:after="0" w:line="240" w:lineRule="auto"/>
            <w:rPr>
              <w:b/>
              <w:bCs/>
              <w:color w:val="000000"/>
              <w:sz w:val="22"/>
              <w:szCs w:val="22"/>
            </w:rPr>
          </w:pPr>
          <w:r>
            <w:fldChar w:fldCharType="begin"/>
          </w:r>
          <w:r>
            <w:instrText xml:space="preserve"> TOC \h \u \z \t "Heading 1,1,Heading 2,2,"</w:instrText>
          </w:r>
          <w:r>
            <w:fldChar w:fldCharType="separate"/>
          </w:r>
          <w:hyperlink w:anchor="_heading=h.9g72n0bk7kzg">
            <w:r>
              <w:rPr>
                <w:b/>
                <w:bCs/>
                <w:color w:val="000000"/>
                <w:sz w:val="22"/>
                <w:szCs w:val="22"/>
              </w:rPr>
              <w:t>Section 1 : Tableau de bord des indicateurs de performance organisationnelle</w:t>
            </w:r>
            <w:r>
              <w:rPr>
                <w:b/>
                <w:bCs/>
                <w:color w:val="000000"/>
                <w:sz w:val="22"/>
                <w:szCs w:val="22"/>
              </w:rPr>
              <w:tab/>
              <w:t>3</w:t>
            </w:r>
          </w:hyperlink>
        </w:p>
        <w:p w14:paraId="49295C94" w14:textId="77777777" w:rsidR="00BF61E2" w:rsidRDefault="00000000">
          <w:pPr>
            <w:widowControl w:val="0"/>
            <w:tabs>
              <w:tab w:val="right" w:pos="12000"/>
            </w:tabs>
            <w:spacing w:before="60" w:after="0" w:line="240" w:lineRule="auto"/>
            <w:rPr>
              <w:b/>
              <w:bCs/>
              <w:color w:val="000000"/>
              <w:sz w:val="22"/>
              <w:szCs w:val="22"/>
            </w:rPr>
          </w:pPr>
          <w:hyperlink w:anchor="_heading=h.o131sunyz8oz">
            <w:r>
              <w:rPr>
                <w:b/>
                <w:bCs/>
                <w:color w:val="000000"/>
                <w:sz w:val="22"/>
                <w:szCs w:val="22"/>
              </w:rPr>
              <w:t>Section 2 : Principales réalisations concernant les engagements stratégiques</w:t>
            </w:r>
            <w:r>
              <w:rPr>
                <w:b/>
                <w:bCs/>
                <w:color w:val="000000"/>
                <w:sz w:val="22"/>
                <w:szCs w:val="22"/>
              </w:rPr>
              <w:tab/>
              <w:t>4</w:t>
            </w:r>
          </w:hyperlink>
        </w:p>
        <w:p w14:paraId="52D17B8C" w14:textId="77777777" w:rsidR="00BF61E2"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1 : Développer et améliorer les services et le soutien à l’accès aux données</w:t>
            </w:r>
            <w:r>
              <w:rPr>
                <w:color w:val="000000"/>
                <w:sz w:val="22"/>
                <w:szCs w:val="22"/>
              </w:rPr>
              <w:tab/>
              <w:t>4</w:t>
            </w:r>
          </w:hyperlink>
        </w:p>
        <w:p w14:paraId="497D8546" w14:textId="77777777" w:rsidR="00BF61E2"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2 : Diversifier et harmoniser les données, et soutenir une utilisation des données innovante et respectueuse de la vie privée</w:t>
            </w:r>
            <w:r>
              <w:rPr>
                <w:color w:val="000000"/>
                <w:sz w:val="22"/>
                <w:szCs w:val="22"/>
              </w:rPr>
              <w:tab/>
              <w:t>5</w:t>
            </w:r>
          </w:hyperlink>
        </w:p>
        <w:p w14:paraId="6F6E98FB" w14:textId="77777777" w:rsidR="00BF61E2"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3 : Établir et renforcer les partenariats et faire preuve de leadership dans l’évolution des pratiques en matière de données</w:t>
            </w:r>
            <w:r>
              <w:rPr>
                <w:color w:val="000000"/>
                <w:sz w:val="22"/>
                <w:szCs w:val="22"/>
              </w:rPr>
              <w:tab/>
              <w:t>6</w:t>
            </w:r>
          </w:hyperlink>
        </w:p>
        <w:p w14:paraId="00EFCB20" w14:textId="77777777" w:rsidR="00BF61E2"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4 : Renforcer l’utilisation des données pour améliorer l’équité et soutenir la souveraineté des données dirigées par les peuples autochtones</w:t>
            </w:r>
            <w:r>
              <w:rPr>
                <w:color w:val="000000"/>
                <w:sz w:val="22"/>
                <w:szCs w:val="22"/>
              </w:rPr>
              <w:tab/>
              <w:t>9</w:t>
            </w:r>
          </w:hyperlink>
        </w:p>
        <w:p w14:paraId="0A503A5C" w14:textId="77777777" w:rsidR="00BF61E2"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Objectif 5 : Assurer une participation publique et communautaire intentionnelle et continue</w:t>
            </w:r>
            <w:r>
              <w:rPr>
                <w:color w:val="000000"/>
                <w:sz w:val="22"/>
                <w:szCs w:val="22"/>
              </w:rPr>
              <w:tab/>
              <w:t>12</w:t>
            </w:r>
          </w:hyperlink>
        </w:p>
        <w:p w14:paraId="42DB8396" w14:textId="77777777" w:rsidR="00BF61E2" w:rsidRDefault="00000000">
          <w:pPr>
            <w:widowControl w:val="0"/>
            <w:tabs>
              <w:tab w:val="right" w:pos="12000"/>
            </w:tabs>
            <w:spacing w:before="60" w:after="0" w:line="240" w:lineRule="auto"/>
            <w:ind w:left="360"/>
            <w:rPr>
              <w:color w:val="000000"/>
              <w:sz w:val="22"/>
              <w:szCs w:val="22"/>
            </w:rPr>
          </w:pPr>
          <w:hyperlink w:anchor="_heading=h.jq1ix1sdg9nu">
            <w:r>
              <w:rPr>
                <w:color w:val="000000"/>
                <w:sz w:val="22"/>
                <w:szCs w:val="22"/>
              </w:rPr>
              <w:t>Facteur de réussite : un réseau cohésif avec des activités efficaces et durables</w:t>
            </w:r>
            <w:r>
              <w:rPr>
                <w:color w:val="000000"/>
                <w:sz w:val="22"/>
                <w:szCs w:val="22"/>
              </w:rPr>
              <w:tab/>
              <w:t>14</w:t>
            </w:r>
          </w:hyperlink>
        </w:p>
        <w:p w14:paraId="7A53DE41" w14:textId="77777777" w:rsidR="00BF61E2" w:rsidRDefault="00000000">
          <w:pPr>
            <w:widowControl w:val="0"/>
            <w:tabs>
              <w:tab w:val="right" w:pos="12000"/>
            </w:tabs>
            <w:spacing w:before="60" w:after="0" w:line="240" w:lineRule="auto"/>
            <w:ind w:left="360"/>
            <w:rPr>
              <w:color w:val="000000"/>
              <w:sz w:val="22"/>
              <w:szCs w:val="22"/>
            </w:rPr>
          </w:pPr>
          <w:hyperlink w:anchor="_heading=">
            <w:r>
              <w:rPr>
                <w:color w:val="000000"/>
                <w:sz w:val="22"/>
                <w:szCs w:val="22"/>
              </w:rPr>
              <w:t>Facteur de réussite : un écosystème législatif et stratégique favorable et engagé et une communauté d’utilisateurs de données active</w:t>
            </w:r>
            <w:r>
              <w:rPr>
                <w:color w:val="000000"/>
                <w:sz w:val="22"/>
                <w:szCs w:val="22"/>
              </w:rPr>
              <w:tab/>
              <w:t>14</w:t>
            </w:r>
          </w:hyperlink>
          <w:r>
            <w:fldChar w:fldCharType="end"/>
          </w:r>
        </w:p>
      </w:sdtContent>
    </w:sdt>
    <w:p w14:paraId="7E825427" w14:textId="77777777" w:rsidR="00BF61E2" w:rsidRDefault="00000000">
      <w:pPr>
        <w:spacing w:before="200" w:after="0"/>
      </w:pPr>
      <w:r>
        <w:rPr>
          <w:rFonts w:ascii="Lato" w:eastAsia="Lato" w:hAnsi="Lato" w:cs="Lato"/>
          <w:b/>
          <w:bCs/>
          <w:color w:val="006A78"/>
          <w:sz w:val="36"/>
          <w:szCs w:val="36"/>
        </w:rPr>
        <w:t>Abréviations</w:t>
      </w:r>
    </w:p>
    <w:p w14:paraId="68E355A0" w14:textId="77777777" w:rsidR="00BF61E2" w:rsidRDefault="00000000">
      <w:pPr>
        <w:spacing w:after="0" w:line="276" w:lineRule="auto"/>
        <w:rPr>
          <w:i/>
          <w:iCs/>
          <w:sz w:val="22"/>
          <w:szCs w:val="22"/>
        </w:rPr>
      </w:pPr>
      <w:r>
        <w:rPr>
          <w:b/>
          <w:bCs/>
          <w:sz w:val="22"/>
          <w:szCs w:val="22"/>
        </w:rPr>
        <w:t>AHD :</w:t>
      </w:r>
      <w:r>
        <w:rPr>
          <w:sz w:val="22"/>
          <w:szCs w:val="22"/>
        </w:rPr>
        <w:t xml:space="preserve"> Algorithmes et données harmonisées : </w:t>
      </w:r>
      <w:r>
        <w:rPr>
          <w:i/>
          <w:iCs/>
          <w:sz w:val="22"/>
          <w:szCs w:val="22"/>
        </w:rPr>
        <w:t>Un groupe de travail au sein du RRDS Canada</w:t>
      </w:r>
    </w:p>
    <w:p w14:paraId="7458C5E5" w14:textId="77777777" w:rsidR="00BF61E2" w:rsidRDefault="00000000">
      <w:pPr>
        <w:spacing w:after="0" w:line="276" w:lineRule="auto"/>
        <w:rPr>
          <w:i/>
          <w:iCs/>
          <w:sz w:val="22"/>
          <w:szCs w:val="22"/>
        </w:rPr>
      </w:pPr>
      <w:proofErr w:type="spellStart"/>
      <w:r>
        <w:rPr>
          <w:b/>
          <w:bCs/>
          <w:sz w:val="22"/>
          <w:szCs w:val="22"/>
        </w:rPr>
        <w:t>CanPath</w:t>
      </w:r>
      <w:proofErr w:type="spellEnd"/>
      <w:r>
        <w:rPr>
          <w:b/>
          <w:bCs/>
          <w:sz w:val="22"/>
          <w:szCs w:val="22"/>
        </w:rPr>
        <w:t> :</w:t>
      </w:r>
      <w:r>
        <w:rPr>
          <w:sz w:val="22"/>
          <w:szCs w:val="22"/>
        </w:rPr>
        <w:t xml:space="preserve"> Partenariat canadien pour la santé de demain : </w:t>
      </w:r>
      <w:r>
        <w:rPr>
          <w:i/>
          <w:iCs/>
          <w:sz w:val="22"/>
          <w:szCs w:val="22"/>
        </w:rPr>
        <w:t xml:space="preserve">Une grande cohorte longitudinale </w:t>
      </w:r>
    </w:p>
    <w:p w14:paraId="0CACDC2E" w14:textId="77777777" w:rsidR="00BF61E2" w:rsidRDefault="00000000">
      <w:pPr>
        <w:spacing w:after="0" w:line="276" w:lineRule="auto"/>
        <w:rPr>
          <w:sz w:val="22"/>
          <w:szCs w:val="22"/>
        </w:rPr>
      </w:pPr>
      <w:r>
        <w:rPr>
          <w:b/>
          <w:bCs/>
          <w:sz w:val="22"/>
          <w:szCs w:val="22"/>
        </w:rPr>
        <w:t>MCD :</w:t>
      </w:r>
      <w:r>
        <w:rPr>
          <w:sz w:val="22"/>
          <w:szCs w:val="22"/>
        </w:rPr>
        <w:t xml:space="preserve"> Modèle de données commun</w:t>
      </w:r>
    </w:p>
    <w:p w14:paraId="5E877919" w14:textId="77777777" w:rsidR="00BF61E2" w:rsidRDefault="00000000">
      <w:pPr>
        <w:spacing w:after="0" w:line="276" w:lineRule="auto"/>
        <w:rPr>
          <w:sz w:val="22"/>
          <w:szCs w:val="22"/>
        </w:rPr>
      </w:pPr>
      <w:r>
        <w:rPr>
          <w:b/>
          <w:bCs/>
          <w:sz w:val="22"/>
          <w:szCs w:val="22"/>
        </w:rPr>
        <w:t>FCI :</w:t>
      </w:r>
      <w:r>
        <w:rPr>
          <w:sz w:val="22"/>
          <w:szCs w:val="22"/>
        </w:rPr>
        <w:t xml:space="preserve"> Fondation canadienne pour l’innovation</w:t>
      </w:r>
    </w:p>
    <w:p w14:paraId="0E3D8A41" w14:textId="77777777" w:rsidR="00BF61E2" w:rsidRDefault="00000000">
      <w:pPr>
        <w:spacing w:after="0" w:line="276" w:lineRule="auto"/>
        <w:rPr>
          <w:sz w:val="22"/>
          <w:szCs w:val="22"/>
        </w:rPr>
      </w:pPr>
      <w:r>
        <w:rPr>
          <w:b/>
          <w:bCs/>
          <w:sz w:val="22"/>
          <w:szCs w:val="22"/>
        </w:rPr>
        <w:t>ICIS :</w:t>
      </w:r>
      <w:r>
        <w:rPr>
          <w:sz w:val="22"/>
          <w:szCs w:val="22"/>
        </w:rPr>
        <w:t xml:space="preserve"> Institut canadien d’information sur la santé</w:t>
      </w:r>
    </w:p>
    <w:p w14:paraId="69ED8EBE" w14:textId="77777777" w:rsidR="00BF61E2" w:rsidRDefault="00000000">
      <w:pPr>
        <w:spacing w:after="0" w:line="276" w:lineRule="auto"/>
        <w:rPr>
          <w:sz w:val="22"/>
          <w:szCs w:val="22"/>
        </w:rPr>
      </w:pPr>
      <w:r>
        <w:rPr>
          <w:b/>
          <w:bCs/>
          <w:sz w:val="22"/>
          <w:szCs w:val="22"/>
        </w:rPr>
        <w:t>IRSC :</w:t>
      </w:r>
      <w:r>
        <w:rPr>
          <w:sz w:val="22"/>
          <w:szCs w:val="22"/>
        </w:rPr>
        <w:t xml:space="preserve"> Instituts de recherche en santé du Canada</w:t>
      </w:r>
    </w:p>
    <w:p w14:paraId="5989F287" w14:textId="77777777" w:rsidR="00BF61E2" w:rsidRDefault="00000000">
      <w:pPr>
        <w:spacing w:after="0" w:line="276" w:lineRule="auto"/>
        <w:rPr>
          <w:i/>
          <w:iCs/>
          <w:sz w:val="22"/>
          <w:szCs w:val="22"/>
        </w:rPr>
      </w:pPr>
      <w:r>
        <w:rPr>
          <w:b/>
          <w:bCs/>
          <w:sz w:val="22"/>
          <w:szCs w:val="22"/>
        </w:rPr>
        <w:t xml:space="preserve">DAI : </w:t>
      </w:r>
      <w:r>
        <w:rPr>
          <w:sz w:val="22"/>
          <w:szCs w:val="22"/>
        </w:rPr>
        <w:t xml:space="preserve">Inventaire des actifs de données : </w:t>
      </w:r>
      <w:r>
        <w:rPr>
          <w:i/>
          <w:iCs/>
          <w:sz w:val="22"/>
          <w:szCs w:val="22"/>
        </w:rPr>
        <w:t>Une des ressources développées par le RRDS Canada</w:t>
      </w:r>
    </w:p>
    <w:p w14:paraId="1C2A0747" w14:textId="77777777" w:rsidR="00BF61E2" w:rsidRDefault="00000000">
      <w:pPr>
        <w:spacing w:after="0" w:line="276" w:lineRule="auto"/>
        <w:rPr>
          <w:i/>
          <w:iCs/>
          <w:sz w:val="22"/>
          <w:szCs w:val="22"/>
        </w:rPr>
      </w:pPr>
      <w:r>
        <w:rPr>
          <w:b/>
          <w:bCs/>
          <w:sz w:val="22"/>
          <w:szCs w:val="22"/>
        </w:rPr>
        <w:t>GSAD :</w:t>
      </w:r>
      <w:r>
        <w:rPr>
          <w:sz w:val="22"/>
          <w:szCs w:val="22"/>
        </w:rPr>
        <w:t xml:space="preserve"> Guichet de soutien à l’accès aux données : </w:t>
      </w:r>
      <w:r>
        <w:rPr>
          <w:i/>
          <w:iCs/>
          <w:sz w:val="22"/>
          <w:szCs w:val="22"/>
        </w:rPr>
        <w:t>Un groupe de travail au sein du RRDS Canada</w:t>
      </w:r>
    </w:p>
    <w:p w14:paraId="1365E74B" w14:textId="77777777" w:rsidR="00BF61E2" w:rsidRDefault="00000000">
      <w:pPr>
        <w:spacing w:after="0" w:line="276" w:lineRule="auto"/>
        <w:rPr>
          <w:sz w:val="22"/>
          <w:szCs w:val="22"/>
        </w:rPr>
      </w:pPr>
      <w:r>
        <w:rPr>
          <w:b/>
          <w:bCs/>
          <w:sz w:val="22"/>
          <w:szCs w:val="22"/>
        </w:rPr>
        <w:t>IDEA :</w:t>
      </w:r>
      <w:r>
        <w:rPr>
          <w:sz w:val="22"/>
          <w:szCs w:val="22"/>
        </w:rPr>
        <w:t xml:space="preserve"> Inclusion, diversité, équité et accessibilité</w:t>
      </w:r>
    </w:p>
    <w:p w14:paraId="4766DA13" w14:textId="77777777" w:rsidR="00BF61E2" w:rsidRDefault="00000000">
      <w:pPr>
        <w:spacing w:after="0" w:line="276" w:lineRule="auto"/>
        <w:rPr>
          <w:sz w:val="22"/>
          <w:szCs w:val="22"/>
        </w:rPr>
      </w:pPr>
      <w:r>
        <w:rPr>
          <w:b/>
          <w:bCs/>
          <w:sz w:val="22"/>
          <w:szCs w:val="22"/>
        </w:rPr>
        <w:t>ISQ :</w:t>
      </w:r>
      <w:r>
        <w:rPr>
          <w:sz w:val="22"/>
          <w:szCs w:val="22"/>
        </w:rPr>
        <w:t xml:space="preserve"> Institut de la statistique du Québec</w:t>
      </w:r>
    </w:p>
    <w:p w14:paraId="4FC8DCB9" w14:textId="77777777" w:rsidR="00BF61E2" w:rsidRDefault="00000000">
      <w:pPr>
        <w:spacing w:after="0" w:line="276" w:lineRule="auto"/>
        <w:rPr>
          <w:sz w:val="22"/>
          <w:szCs w:val="22"/>
        </w:rPr>
      </w:pPr>
      <w:r>
        <w:rPr>
          <w:b/>
          <w:bCs/>
          <w:sz w:val="22"/>
          <w:szCs w:val="22"/>
        </w:rPr>
        <w:t xml:space="preserve">MIG : </w:t>
      </w:r>
      <w:r>
        <w:rPr>
          <w:sz w:val="22"/>
          <w:szCs w:val="22"/>
        </w:rPr>
        <w:t>Groupe de modélisation et d’informatique</w:t>
      </w:r>
    </w:p>
    <w:p w14:paraId="67C88C88" w14:textId="77777777" w:rsidR="00BF61E2" w:rsidRDefault="00000000">
      <w:pPr>
        <w:spacing w:after="0" w:line="276" w:lineRule="auto"/>
        <w:rPr>
          <w:i/>
          <w:iCs/>
          <w:sz w:val="22"/>
          <w:szCs w:val="22"/>
        </w:rPr>
      </w:pPr>
      <w:r>
        <w:rPr>
          <w:b/>
          <w:bCs/>
          <w:sz w:val="22"/>
          <w:szCs w:val="22"/>
        </w:rPr>
        <w:t>OMOP :</w:t>
      </w:r>
      <w:r>
        <w:rPr>
          <w:sz w:val="22"/>
          <w:szCs w:val="22"/>
        </w:rPr>
        <w:t xml:space="preserve"> Partenariat pour l’observation des résultats médicaux </w:t>
      </w:r>
      <w:r>
        <w:rPr>
          <w:i/>
          <w:iCs/>
          <w:sz w:val="22"/>
          <w:szCs w:val="22"/>
        </w:rPr>
        <w:t>: Un modèle de données commun largement utilisé que le RRDS Canada est en train de mettre en œuvre</w:t>
      </w:r>
    </w:p>
    <w:p w14:paraId="13C429C1" w14:textId="77777777" w:rsidR="00BF61E2" w:rsidRDefault="00000000">
      <w:pPr>
        <w:spacing w:after="0" w:line="276" w:lineRule="auto"/>
        <w:rPr>
          <w:i/>
          <w:iCs/>
          <w:sz w:val="22"/>
          <w:szCs w:val="22"/>
        </w:rPr>
      </w:pPr>
      <w:r>
        <w:rPr>
          <w:b/>
          <w:bCs/>
          <w:sz w:val="22"/>
          <w:szCs w:val="22"/>
        </w:rPr>
        <w:t>CCP :</w:t>
      </w:r>
      <w:r>
        <w:rPr>
          <w:sz w:val="22"/>
          <w:szCs w:val="22"/>
        </w:rPr>
        <w:t xml:space="preserve"> Conseil consultatif public : </w:t>
      </w:r>
      <w:r>
        <w:rPr>
          <w:i/>
          <w:iCs/>
          <w:sz w:val="22"/>
          <w:szCs w:val="22"/>
        </w:rPr>
        <w:t>Un organisme consultatif soutenu par le RRDS Canada</w:t>
      </w:r>
    </w:p>
    <w:p w14:paraId="67829D9D" w14:textId="77777777" w:rsidR="00BF61E2" w:rsidRDefault="00000000">
      <w:pPr>
        <w:spacing w:after="0" w:line="276" w:lineRule="auto"/>
        <w:rPr>
          <w:i/>
          <w:iCs/>
          <w:sz w:val="22"/>
          <w:szCs w:val="22"/>
        </w:rPr>
      </w:pPr>
      <w:r>
        <w:rPr>
          <w:b/>
          <w:bCs/>
          <w:sz w:val="22"/>
          <w:szCs w:val="22"/>
        </w:rPr>
        <w:t>PE :</w:t>
      </w:r>
      <w:r>
        <w:rPr>
          <w:sz w:val="22"/>
          <w:szCs w:val="22"/>
        </w:rPr>
        <w:t xml:space="preserve"> Activités de mobilisation du grand public : </w:t>
      </w:r>
      <w:r>
        <w:rPr>
          <w:i/>
          <w:iCs/>
          <w:sz w:val="22"/>
          <w:szCs w:val="22"/>
        </w:rPr>
        <w:t>Un groupe de travail au sein du RRDS Canada</w:t>
      </w:r>
    </w:p>
    <w:p w14:paraId="18E57B56" w14:textId="77777777" w:rsidR="00BF61E2" w:rsidRDefault="00000000">
      <w:pPr>
        <w:spacing w:after="0" w:line="276" w:lineRule="auto"/>
        <w:rPr>
          <w:sz w:val="22"/>
          <w:szCs w:val="22"/>
        </w:rPr>
      </w:pPr>
      <w:r>
        <w:rPr>
          <w:b/>
          <w:bCs/>
          <w:sz w:val="22"/>
          <w:szCs w:val="22"/>
        </w:rPr>
        <w:t>ASPC :</w:t>
      </w:r>
      <w:r>
        <w:rPr>
          <w:sz w:val="22"/>
          <w:szCs w:val="22"/>
        </w:rPr>
        <w:t xml:space="preserve"> Agence de la santé publique du Canada</w:t>
      </w:r>
    </w:p>
    <w:p w14:paraId="36B949EA" w14:textId="77777777" w:rsidR="00BF61E2" w:rsidRDefault="00000000">
      <w:pPr>
        <w:spacing w:after="0" w:line="276" w:lineRule="auto"/>
        <w:rPr>
          <w:i/>
          <w:iCs/>
          <w:sz w:val="22"/>
          <w:szCs w:val="22"/>
        </w:rPr>
      </w:pPr>
      <w:r>
        <w:rPr>
          <w:b/>
          <w:bCs/>
          <w:sz w:val="22"/>
          <w:szCs w:val="22"/>
        </w:rPr>
        <w:t>PTTP :</w:t>
      </w:r>
      <w:r>
        <w:rPr>
          <w:sz w:val="22"/>
          <w:szCs w:val="22"/>
        </w:rPr>
        <w:t xml:space="preserve"> Programme d’essais cliniques pragmatiques : </w:t>
      </w:r>
      <w:r>
        <w:rPr>
          <w:i/>
          <w:iCs/>
          <w:sz w:val="22"/>
          <w:szCs w:val="22"/>
        </w:rPr>
        <w:t>Un programme organisé par le RRDS Canada</w:t>
      </w:r>
    </w:p>
    <w:p w14:paraId="7D556E45" w14:textId="77777777" w:rsidR="00BF61E2" w:rsidRDefault="00000000">
      <w:pPr>
        <w:spacing w:after="0" w:line="276" w:lineRule="auto"/>
        <w:rPr>
          <w:b/>
          <w:bCs/>
          <w:sz w:val="22"/>
          <w:szCs w:val="22"/>
        </w:rPr>
      </w:pPr>
      <w:r>
        <w:rPr>
          <w:b/>
          <w:bCs/>
          <w:sz w:val="22"/>
          <w:szCs w:val="22"/>
        </w:rPr>
        <w:t>TRE :</w:t>
      </w:r>
      <w:r>
        <w:rPr>
          <w:sz w:val="22"/>
          <w:szCs w:val="22"/>
        </w:rPr>
        <w:t xml:space="preserve"> Environnement de recherche fiable : </w:t>
      </w:r>
      <w:r>
        <w:rPr>
          <w:i/>
          <w:iCs/>
          <w:sz w:val="22"/>
          <w:szCs w:val="22"/>
        </w:rPr>
        <w:t>Terminologie pour les espaces sécurisés où s’effectue l’analyse des données</w:t>
      </w:r>
      <w:r>
        <w:br w:type="page"/>
      </w:r>
    </w:p>
    <w:p w14:paraId="51744C38" w14:textId="77777777" w:rsidR="00BF61E2" w:rsidRDefault="00000000">
      <w:pPr>
        <w:pStyle w:val="Heading1"/>
        <w:spacing w:before="200" w:after="0"/>
      </w:pPr>
      <w:bookmarkStart w:id="1" w:name="_heading=h.9g72n0bk7kzg" w:colFirst="0" w:colLast="0"/>
      <w:bookmarkEnd w:id="1"/>
      <w:r>
        <w:lastRenderedPageBreak/>
        <w:t>Section 1 : Tableau de bord des indicateurs de performance organisationnelle</w:t>
      </w:r>
      <w:r>
        <w:rPr>
          <w:rFonts w:ascii="Arial" w:eastAsia="Arial" w:hAnsi="Arial" w:cs="Arial"/>
          <w:b w:val="0"/>
          <w:bCs w:val="0"/>
          <w:noProof/>
          <w:color w:val="000000"/>
          <w:sz w:val="22"/>
          <w:szCs w:val="22"/>
        </w:rPr>
        <w:drawing>
          <wp:inline distT="114300" distB="114300" distL="114300" distR="114300" wp14:anchorId="4EEF93DB" wp14:editId="5808067C">
            <wp:extent cx="5767388" cy="6472084"/>
            <wp:effectExtent l="0" t="0" r="0" b="0"/>
            <wp:docPr id="190398659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b="13118"/>
                    <a:stretch>
                      <a:fillRect/>
                    </a:stretch>
                  </pic:blipFill>
                  <pic:spPr>
                    <a:xfrm>
                      <a:off x="0" y="0"/>
                      <a:ext cx="5767388" cy="6472084"/>
                    </a:xfrm>
                    <a:prstGeom prst="rect">
                      <a:avLst/>
                    </a:prstGeom>
                    <a:ln/>
                  </pic:spPr>
                </pic:pic>
              </a:graphicData>
            </a:graphic>
          </wp:inline>
        </w:drawing>
      </w:r>
    </w:p>
    <w:p w14:paraId="759CE39F" w14:textId="77777777" w:rsidR="00BF61E2" w:rsidRDefault="00000000">
      <w:r>
        <w:rPr>
          <w:b/>
          <w:bCs/>
          <w:color w:val="000000"/>
          <w:sz w:val="22"/>
          <w:szCs w:val="22"/>
        </w:rPr>
        <w:t>Remarque </w:t>
      </w:r>
      <w:r>
        <w:rPr>
          <w:color w:val="000000"/>
          <w:sz w:val="22"/>
          <w:szCs w:val="22"/>
        </w:rPr>
        <w:t>: Les indicateurs sont mis à jour chaque trimestre. Les initiatives en cours ou nouvelles sont indiquées entre crochets.</w:t>
      </w:r>
    </w:p>
    <w:p w14:paraId="1ED53E74" w14:textId="77777777" w:rsidR="00BF61E2" w:rsidRDefault="00000000">
      <w:pPr>
        <w:pStyle w:val="Heading1"/>
      </w:pPr>
      <w:bookmarkStart w:id="2" w:name="_heading=h.o131sunyz8oz" w:colFirst="0" w:colLast="0"/>
      <w:bookmarkEnd w:id="2"/>
      <w:r>
        <w:lastRenderedPageBreak/>
        <w:t>Section 2 : Principales réalisations concernant les engagements stratégiques</w:t>
      </w:r>
    </w:p>
    <w:p w14:paraId="75C9ACFF" w14:textId="77777777" w:rsidR="00BF61E2" w:rsidRDefault="00000000">
      <w:pPr>
        <w:pStyle w:val="Heading2"/>
        <w:tabs>
          <w:tab w:val="left" w:pos="461"/>
        </w:tabs>
        <w:spacing w:before="200"/>
      </w:pPr>
      <w:r>
        <w:t>Objectif 1 : Développer et améliorer les services et le soutien à l’accès aux données</w:t>
      </w:r>
    </w:p>
    <w:p w14:paraId="54FEB011" w14:textId="77777777" w:rsidR="00BF61E2" w:rsidRDefault="00000000">
      <w:pPr>
        <w:pStyle w:val="Heading3"/>
        <w:tabs>
          <w:tab w:val="left" w:pos="461"/>
          <w:tab w:val="left" w:pos="461"/>
        </w:tabs>
        <w:spacing w:before="200" w:after="200" w:line="276" w:lineRule="auto"/>
      </w:pPr>
      <w:bookmarkStart w:id="3" w:name="_heading=h.wihqo2yfaqys" w:colFirst="0" w:colLast="0"/>
      <w:bookmarkEnd w:id="3"/>
      <w:r>
        <w:t>Services de recherche et de données multirégionaux :</w:t>
      </w:r>
    </w:p>
    <w:p w14:paraId="49B55890" w14:textId="77777777" w:rsidR="00BF61E2" w:rsidRDefault="00000000">
      <w:pPr>
        <w:numPr>
          <w:ilvl w:val="0"/>
          <w:numId w:val="14"/>
        </w:numPr>
        <w:spacing w:after="0"/>
      </w:pPr>
      <w:r>
        <w:t>Le GSAD et CAN-ASK s’associent pour harmoniser leurs services d’accès aux données afin d’offrir une expérience client fluide et intégrée. Pour soutenir cette initiative, le comité exécutif a décidé d’intégrer le GSAD et CAN-ASK sous la direction d’Anne Hayes, avec la collaboration continue de Jordan Hunt. L’intégration sera supervisée par les commanditaires exécutifs Brent </w:t>
      </w:r>
      <w:proofErr w:type="spellStart"/>
      <w:r>
        <w:t>Diverty</w:t>
      </w:r>
      <w:proofErr w:type="spellEnd"/>
      <w:r>
        <w:t>, Michael </w:t>
      </w:r>
      <w:proofErr w:type="spellStart"/>
      <w:r>
        <w:t>Schull</w:t>
      </w:r>
      <w:proofErr w:type="spellEnd"/>
      <w:r>
        <w:t xml:space="preserve"> / Charles Victor et Ted McDonald. </w:t>
      </w:r>
    </w:p>
    <w:p w14:paraId="4D1364BA" w14:textId="77777777" w:rsidR="00BF61E2" w:rsidRDefault="00000000">
      <w:pPr>
        <w:numPr>
          <w:ilvl w:val="0"/>
          <w:numId w:val="14"/>
        </w:numPr>
        <w:spacing w:after="0"/>
      </w:pPr>
      <w:r>
        <w:t xml:space="preserve">La nouvelle équipe formera un groupe de travail chargé de la planification et de la mise en œuvre, composé initialement de membres de l’équipe de direction, du GSAD et de l’équipe Partenariats, afin d’aider à la mise en place de la nouvelle structure organisationnelle. Les équipes et les groupes de travail seront consultés tout au long du processus. </w:t>
      </w:r>
    </w:p>
    <w:p w14:paraId="7C0C1A4B" w14:textId="77777777" w:rsidR="00BF61E2" w:rsidRDefault="00000000">
      <w:pPr>
        <w:numPr>
          <w:ilvl w:val="0"/>
          <w:numId w:val="14"/>
        </w:numPr>
        <w:spacing w:after="0"/>
      </w:pPr>
      <w:r>
        <w:t>Ce nouveau service harmonisé continuera à se concentrer sur l’amélioration du soutien et des services pour les données multirégionales, à l’intention des diverses parties prenantes de l’écosystème des données sur la santé. Cela implique de continuer à comprendre l’expérience utilisateur de nos clients, d’élargir notre gamme d’outils et de services, d’augmenter notre clientèle et de renforcer notre leadership en matière d’innovation méthodologique.</w:t>
      </w:r>
    </w:p>
    <w:p w14:paraId="7759B092" w14:textId="77777777" w:rsidR="00BF61E2" w:rsidRDefault="00000000">
      <w:pPr>
        <w:pStyle w:val="Heading3"/>
        <w:tabs>
          <w:tab w:val="left" w:pos="461"/>
          <w:tab w:val="left" w:pos="461"/>
        </w:tabs>
        <w:spacing w:before="200" w:after="200" w:line="276" w:lineRule="auto"/>
      </w:pPr>
      <w:bookmarkStart w:id="4" w:name="_heading=h.1fdt2ku9h7h8" w:colFirst="0" w:colLast="0"/>
      <w:bookmarkEnd w:id="4"/>
      <w:r>
        <w:t>Gestion des projets actifs du GSAD :</w:t>
      </w:r>
    </w:p>
    <w:p w14:paraId="46D7BE82" w14:textId="77777777" w:rsidR="00BF61E2" w:rsidRDefault="00000000">
      <w:pPr>
        <w:numPr>
          <w:ilvl w:val="0"/>
          <w:numId w:val="15"/>
        </w:numPr>
        <w:spacing w:after="0"/>
      </w:pPr>
      <w:r>
        <w:t xml:space="preserve">Le GSAD a achevé un autre projet ce trimestre, portant à 14 le nombre total de projets achevés à ce jour. Actuellement, le GSAD compte 20 projets actifs, dont 14 sont des demandes officielles d’accès aux données. </w:t>
      </w:r>
    </w:p>
    <w:p w14:paraId="5DB4699A" w14:textId="77777777" w:rsidR="00BF61E2" w:rsidRDefault="00000000">
      <w:pPr>
        <w:numPr>
          <w:ilvl w:val="0"/>
          <w:numId w:val="15"/>
        </w:numPr>
        <w:spacing w:after="0"/>
      </w:pPr>
      <w:r>
        <w:lastRenderedPageBreak/>
        <w:t>Les mois d’été ont été particulièrement chargés, avec 21 nouvelles soumissions de projets (admissions) enregistrées entre le 1</w:t>
      </w:r>
      <w:r>
        <w:rPr>
          <w:vertAlign w:val="superscript"/>
        </w:rPr>
        <w:t>er</w:t>
      </w:r>
      <w:r>
        <w:t> juillet et le 30 septembre 2025, soit une augmentation notable par rapport à la même période l’année dernière, où il n’y en avait eu que neuf. Pendant cette période, les centres de données ont également réalisé environ 18 études de faisabilité et estimations de coûts.</w:t>
      </w:r>
    </w:p>
    <w:p w14:paraId="6D4413C2" w14:textId="77777777" w:rsidR="00BF61E2" w:rsidRDefault="00000000">
      <w:pPr>
        <w:pStyle w:val="Heading3"/>
        <w:tabs>
          <w:tab w:val="left" w:pos="461"/>
          <w:tab w:val="left" w:pos="461"/>
        </w:tabs>
        <w:spacing w:before="200" w:after="200" w:line="276" w:lineRule="auto"/>
      </w:pPr>
      <w:bookmarkStart w:id="5" w:name="_heading=h.gdn9fxijzpzr" w:colFirst="0" w:colLast="0"/>
      <w:bookmarkEnd w:id="5"/>
      <w:r>
        <w:t>Modernisation du portail en ligne du GSAD :</w:t>
      </w:r>
    </w:p>
    <w:p w14:paraId="67B6D902" w14:textId="77777777" w:rsidR="00BF61E2" w:rsidRDefault="00000000">
      <w:pPr>
        <w:numPr>
          <w:ilvl w:val="0"/>
          <w:numId w:val="15"/>
        </w:numPr>
        <w:spacing w:after="0"/>
      </w:pPr>
      <w:r>
        <w:t>Le 1</w:t>
      </w:r>
      <w:r>
        <w:rPr>
          <w:vertAlign w:val="superscript"/>
        </w:rPr>
        <w:t>er</w:t>
      </w:r>
      <w:r>
        <w:t xml:space="preserve"> août 2025, le GSAD a lancé son formulaire d’admission modernisé et son nouveau formulaire de demande. Ce formulaire a été conçu pour améliorer l’expérience des chercheurs qui utilisent les services du GSAD. La conception du formulaire a été repensée et se fonde sur les principes de l’expérience utilisateur. </w:t>
      </w:r>
    </w:p>
    <w:p w14:paraId="6CB01257" w14:textId="77777777" w:rsidR="00BF61E2" w:rsidRDefault="00000000">
      <w:pPr>
        <w:numPr>
          <w:ilvl w:val="0"/>
          <w:numId w:val="15"/>
        </w:numPr>
        <w:spacing w:after="0"/>
      </w:pPr>
      <w:r>
        <w:t xml:space="preserve">Le GSAD modernise son portail en ligne et ses formulaires centralisés. Au fur et à mesure que le travail évoluera, il sera possible d’intégrer et d’harmoniser la plateforme pour tous les clients des portefeuilles du GSAD et de CAN-ASK. </w:t>
      </w:r>
    </w:p>
    <w:p w14:paraId="39BC9409" w14:textId="77777777" w:rsidR="00BF61E2" w:rsidRDefault="00000000">
      <w:pPr>
        <w:pStyle w:val="Heading3"/>
        <w:tabs>
          <w:tab w:val="left" w:pos="461"/>
          <w:tab w:val="left" w:pos="461"/>
        </w:tabs>
        <w:spacing w:before="200" w:after="200" w:line="276" w:lineRule="auto"/>
      </w:pPr>
      <w:bookmarkStart w:id="6" w:name="_heading=h.vjpcm2op7t08" w:colFirst="0" w:colLast="0"/>
      <w:bookmarkEnd w:id="6"/>
      <w:r>
        <w:t>Groupe de travail sur l’expérience utilisateur :</w:t>
      </w:r>
    </w:p>
    <w:p w14:paraId="1287DD7C" w14:textId="77777777" w:rsidR="00BF61E2" w:rsidRDefault="00000000">
      <w:pPr>
        <w:numPr>
          <w:ilvl w:val="0"/>
          <w:numId w:val="15"/>
        </w:numPr>
        <w:spacing w:after="0"/>
        <w:rPr>
          <w:sz w:val="22"/>
          <w:szCs w:val="22"/>
        </w:rPr>
      </w:pPr>
      <w:r>
        <w:t xml:space="preserve">Un groupe de travail sur l’expérience utilisateur a élaboré un guide d’entretiens qualitatifs afin de recueillir auprès des clients des renseignements détaillés sur l’expérience utilisateur. Le premier entretien qualitatif avec un chercheur est prévu pour novembre. </w:t>
      </w:r>
    </w:p>
    <w:p w14:paraId="0148AB14" w14:textId="77777777" w:rsidR="00BF61E2" w:rsidRDefault="00000000">
      <w:pPr>
        <w:pStyle w:val="Heading2"/>
        <w:tabs>
          <w:tab w:val="left" w:pos="461"/>
        </w:tabs>
        <w:spacing w:before="200"/>
      </w:pPr>
      <w:r>
        <w:t>Objectif 2 : Diversifier et harmoniser les données, et soutenir une utilisation des données innovante et respectueuse de la vie privée</w:t>
      </w:r>
    </w:p>
    <w:p w14:paraId="5BD7C740" w14:textId="77777777" w:rsidR="00BF61E2" w:rsidRDefault="00000000">
      <w:pPr>
        <w:pStyle w:val="Heading3"/>
        <w:tabs>
          <w:tab w:val="left" w:pos="461"/>
          <w:tab w:val="left" w:pos="461"/>
        </w:tabs>
        <w:spacing w:before="200" w:after="200" w:line="276" w:lineRule="auto"/>
      </w:pPr>
      <w:bookmarkStart w:id="7" w:name="_heading=h.sxrqlllxeldp" w:colFirst="0" w:colLast="0"/>
      <w:bookmarkEnd w:id="7"/>
      <w:r>
        <w:t>L’outil d’apprentissage automatique MASK formé localement obtient d’excellentes performances en matière de dépersonnalisation de textes libres :</w:t>
      </w:r>
    </w:p>
    <w:p w14:paraId="0003C9CE" w14:textId="77777777" w:rsidR="00BF61E2" w:rsidRDefault="00000000">
      <w:pPr>
        <w:numPr>
          <w:ilvl w:val="0"/>
          <w:numId w:val="21"/>
        </w:numPr>
        <w:spacing w:after="0"/>
      </w:pPr>
      <w:r>
        <w:t>Les sites pilotes de l’Ontario et du Manitoba ont entraîné MASK avec succès à partir de leurs propres données et, lors des tests, obtiennent d’excellents résultats pour toutes les mesures de performance clés relatives à la dépersonnalisation des informations personnelles dans les notes cliniques.</w:t>
      </w:r>
    </w:p>
    <w:p w14:paraId="2C61A3D4" w14:textId="77777777" w:rsidR="00BF61E2" w:rsidRDefault="00000000">
      <w:pPr>
        <w:numPr>
          <w:ilvl w:val="0"/>
          <w:numId w:val="21"/>
        </w:numPr>
        <w:spacing w:after="0"/>
      </w:pPr>
      <w:r>
        <w:lastRenderedPageBreak/>
        <w:t>La phase suivante utilisera l’apprentissage fédéré, une approche innovante qui permet à plusieurs sites d’entraîner un modèle d’apprentissage automatique commun sans déplacer ni partager de données confidentielles. Comme c’est la première fois que les sites utilisent l’apprentissage fédéré, l’équipe explore les meilleures méthodes pour garantir une protection solide de la vie privée sur tous les sites et donner aux équipes chargées de l’examen de la confidentialité l’assurance que les informations confidentielles sont protégées.</w:t>
      </w:r>
    </w:p>
    <w:p w14:paraId="38D6B424" w14:textId="77777777" w:rsidR="00BF61E2" w:rsidRDefault="00000000">
      <w:pPr>
        <w:pStyle w:val="Heading3"/>
        <w:tabs>
          <w:tab w:val="left" w:pos="461"/>
          <w:tab w:val="left" w:pos="461"/>
        </w:tabs>
        <w:spacing w:before="200" w:after="200" w:line="276" w:lineRule="auto"/>
      </w:pPr>
      <w:bookmarkStart w:id="8" w:name="_heading=h.ttbyo1rqzwky" w:colFirst="0" w:colLast="0"/>
      <w:bookmarkEnd w:id="8"/>
      <w:r>
        <w:t>Élargissement de la participation des sites à la mise en œuvre du modèle de données commun de l’</w:t>
      </w:r>
      <w:proofErr w:type="spellStart"/>
      <w:r>
        <w:t>Observational</w:t>
      </w:r>
      <w:proofErr w:type="spellEnd"/>
      <w:r>
        <w:t xml:space="preserve"> </w:t>
      </w:r>
      <w:proofErr w:type="spellStart"/>
      <w:r>
        <w:t>Medical</w:t>
      </w:r>
      <w:proofErr w:type="spellEnd"/>
      <w:r>
        <w:t xml:space="preserve"> </w:t>
      </w:r>
      <w:proofErr w:type="spellStart"/>
      <w:r>
        <w:t>Outcomes</w:t>
      </w:r>
      <w:proofErr w:type="spellEnd"/>
      <w:r>
        <w:t xml:space="preserve"> Partnership (OMOP) :</w:t>
      </w:r>
    </w:p>
    <w:p w14:paraId="1FC98C41" w14:textId="77777777" w:rsidR="00BF61E2" w:rsidRDefault="00000000">
      <w:pPr>
        <w:numPr>
          <w:ilvl w:val="0"/>
          <w:numId w:val="10"/>
        </w:numPr>
        <w:spacing w:after="240"/>
      </w:pPr>
      <w:r>
        <w:t>De nouveaux sites (N.-É., N.-B, et Î.-P.-É.) se familiarisent avec le modèle de données commun de l’OMOP et contribuent aux efforts collectifs visant à harmoniser les systèmes de codage clinique canadiens (p. ex. codes diagnostiques ICD-10-CA) avec les vocabulaires standard de l’OMOP. Ce travail est fondamental pour la mise en œuvre de l’OMOP et offre un point d’entrée accessible pour participer à cette mise en œuvre, car il ne nécessite pas d’accès direct aux données locales.</w:t>
      </w:r>
    </w:p>
    <w:p w14:paraId="12165A34" w14:textId="77777777" w:rsidR="00BF61E2" w:rsidRDefault="00000000">
      <w:pPr>
        <w:numPr>
          <w:ilvl w:val="0"/>
          <w:numId w:val="10"/>
        </w:numPr>
        <w:spacing w:before="240" w:after="240"/>
      </w:pPr>
      <w:r>
        <w:t>Les travaux actuels de mise en correspondance se concentrent sur les codes diagnostiques utilisés dans les indices de comorbidité largement appliqués. Contribuer à cet effort commun permet de développer une expertise et de mettre en place des processus qui faciliteront à l’avenir la mise en correspondance d’autres systèmes de codification, y compris pour les codes qui varient d’un site à l’autre, tels que les codes de facturation des médecins. De plus, ces mises en correspondance partagées seront utilisées dans tous les centres de données participants et mises à la disposition d’autres organisations canadiennes qui mettent en œuvre l’OMOP.</w:t>
      </w:r>
    </w:p>
    <w:p w14:paraId="7E8F4664" w14:textId="77777777" w:rsidR="00BF61E2" w:rsidRDefault="00000000">
      <w:pPr>
        <w:pStyle w:val="Heading2"/>
        <w:tabs>
          <w:tab w:val="left" w:pos="461"/>
        </w:tabs>
        <w:spacing w:before="200"/>
      </w:pPr>
      <w:r>
        <w:lastRenderedPageBreak/>
        <w:t>Objectif 3 : Établir et renforcer les partenariats et faire preuve de leadership dans l’évolution des pratiques en matière de données</w:t>
      </w:r>
    </w:p>
    <w:p w14:paraId="598C71CC" w14:textId="77777777" w:rsidR="00BF61E2" w:rsidRDefault="00000000">
      <w:pPr>
        <w:pStyle w:val="Heading3"/>
        <w:tabs>
          <w:tab w:val="left" w:pos="461"/>
          <w:tab w:val="left" w:pos="461"/>
        </w:tabs>
        <w:spacing w:before="200" w:after="200" w:line="276" w:lineRule="auto"/>
      </w:pPr>
      <w:bookmarkStart w:id="9" w:name="_heading=h.qofo5dhx4fe2" w:colFirst="0" w:colLast="0"/>
      <w:bookmarkEnd w:id="9"/>
      <w:r>
        <w:t>Collaboration pancanadienne de premier plan sur le modèle de données commun de l’OMOP :</w:t>
      </w:r>
    </w:p>
    <w:p w14:paraId="7BF68888" w14:textId="77777777" w:rsidR="00BF61E2" w:rsidRDefault="00000000">
      <w:pPr>
        <w:numPr>
          <w:ilvl w:val="0"/>
          <w:numId w:val="5"/>
        </w:numPr>
        <w:spacing w:after="0"/>
        <w:rPr>
          <w:color w:val="000000"/>
        </w:rPr>
      </w:pPr>
      <w:r>
        <w:t xml:space="preserve">Nous avons réuni un groupe diversifié de conférenciers provenant de partout au Canada et de l’étranger pour l’événement pancanadien OMOP Engagement </w:t>
      </w:r>
      <w:proofErr w:type="spellStart"/>
      <w:r>
        <w:t>Event</w:t>
      </w:r>
      <w:proofErr w:type="spellEnd"/>
      <w:r>
        <w:t xml:space="preserve"> (tenu les 17 et 18 novembre à Toronto). L’événement a suscité un vif intérêt, les inscriptions ayant atteint la capacité maximale bien avant la date prévue, ce qui souligne l’élan croissant autour de la mise en œuvre de l’OMOP à l’échelle nationale.</w:t>
      </w:r>
    </w:p>
    <w:p w14:paraId="3BE0B90D" w14:textId="77777777" w:rsidR="00BF61E2" w:rsidRDefault="00000000">
      <w:pPr>
        <w:numPr>
          <w:ilvl w:val="0"/>
          <w:numId w:val="5"/>
        </w:numPr>
        <w:spacing w:after="0"/>
        <w:rPr>
          <w:color w:val="000000"/>
        </w:rPr>
      </w:pPr>
      <w:r>
        <w:t xml:space="preserve">Notre engagement dans la préparation de cet événement nous a permis de </w:t>
      </w:r>
      <w:proofErr w:type="gramStart"/>
      <w:r>
        <w:t>dresser</w:t>
      </w:r>
      <w:proofErr w:type="gramEnd"/>
      <w:r>
        <w:t xml:space="preserve"> un portrait national de l’OMOP, de renforcer les liens entre les organisations et de mieux faire connaître RRDS Canada, ce qui nous a permis de nous positionner à l’échelle nationale et internationale comme un organisateur et un chef de file dans ce domaine.</w:t>
      </w:r>
    </w:p>
    <w:p w14:paraId="3727F3ED" w14:textId="77777777" w:rsidR="00BF61E2" w:rsidRDefault="00000000">
      <w:pPr>
        <w:pStyle w:val="Heading3"/>
        <w:tabs>
          <w:tab w:val="left" w:pos="461"/>
          <w:tab w:val="left" w:pos="461"/>
          <w:tab w:val="left" w:pos="461"/>
          <w:tab w:val="left" w:pos="461"/>
          <w:tab w:val="left" w:pos="461"/>
          <w:tab w:val="left" w:pos="461"/>
          <w:tab w:val="left" w:pos="461"/>
          <w:tab w:val="left" w:pos="461"/>
          <w:tab w:val="left" w:pos="461"/>
          <w:tab w:val="left" w:pos="461"/>
        </w:tabs>
        <w:spacing w:before="200" w:after="200" w:line="276" w:lineRule="auto"/>
      </w:pPr>
      <w:bookmarkStart w:id="10" w:name="_heading=h.9d4of0it59" w:colFirst="0" w:colLast="0"/>
      <w:bookmarkEnd w:id="10"/>
      <w:r>
        <w:t>Progrès importants concernant le programme d’essais cliniques pragmatiques :</w:t>
      </w:r>
    </w:p>
    <w:p w14:paraId="12C59A86" w14:textId="77777777" w:rsidR="00BF61E2" w:rsidRDefault="00000000">
      <w:pPr>
        <w:numPr>
          <w:ilvl w:val="0"/>
          <w:numId w:val="6"/>
        </w:numPr>
        <w:spacing w:after="0"/>
        <w:ind w:left="361"/>
        <w:rPr>
          <w:rFonts w:ascii="Noto Sans Symbols" w:eastAsia="Noto Sans Symbols" w:hAnsi="Noto Sans Symbols" w:cs="Noto Sans Symbols"/>
          <w:color w:val="000000"/>
        </w:rPr>
      </w:pPr>
      <w:r>
        <w:t>La deuxième année des modules éducatifs hebdomadaires bat son plein (ils sont maintenant créés à l’aide de divers outils d’IA).</w:t>
      </w:r>
    </w:p>
    <w:p w14:paraId="41C5CED6" w14:textId="77777777" w:rsidR="00BF61E2" w:rsidRDefault="00000000">
      <w:pPr>
        <w:numPr>
          <w:ilvl w:val="1"/>
          <w:numId w:val="6"/>
        </w:numPr>
        <w:spacing w:after="0"/>
        <w:rPr>
          <w:rFonts w:ascii="Courier New" w:eastAsia="Courier New" w:hAnsi="Courier New" w:cs="Courier New"/>
          <w:color w:val="000000"/>
        </w:rPr>
      </w:pPr>
      <w:r>
        <w:t xml:space="preserve">Jusqu’à présent, les modules de la deuxième année ont exploré la distinction entre les intentions explicatives et pragmatiques et la formulation de questions de recherche réalisables et axées sur le partenariat. Ils ont progressé grâce à des principes de conception clés, notamment la sélection des résultats, le développement d’interventions, les méthodes de randomisation et l’opérationnalisation, en mettant l’accent sur l’équité, la souveraineté des données autochtones et l’applicabilité dans le monde réel. Le module le plus récent intègre des considérations statistiques telles que les </w:t>
      </w:r>
      <w:proofErr w:type="spellStart"/>
      <w:r>
        <w:t>estimants</w:t>
      </w:r>
      <w:proofErr w:type="spellEnd"/>
      <w:r>
        <w:t xml:space="preserve"> et les estimateurs afin de garantir une interprétation transparente et pertinente des résultats des essais.</w:t>
      </w:r>
    </w:p>
    <w:p w14:paraId="5C9CBE82" w14:textId="77777777" w:rsidR="00BF61E2" w:rsidRDefault="00000000">
      <w:pPr>
        <w:numPr>
          <w:ilvl w:val="0"/>
          <w:numId w:val="6"/>
        </w:numPr>
        <w:spacing w:after="0"/>
        <w:ind w:left="361"/>
        <w:rPr>
          <w:rFonts w:ascii="Noto Sans Symbols" w:eastAsia="Noto Sans Symbols" w:hAnsi="Noto Sans Symbols" w:cs="Noto Sans Symbols"/>
          <w:color w:val="000000"/>
        </w:rPr>
      </w:pPr>
      <w:r>
        <w:lastRenderedPageBreak/>
        <w:t>Plusieurs responsables d’essais participant au programme ont la possibilité de bénéficier de consultations personnalisées avec les gardiens du savoir autochtone du programme au sujet de leurs protocoles d’essais cliniques pragmatiques.</w:t>
      </w:r>
    </w:p>
    <w:p w14:paraId="0445681B" w14:textId="77777777" w:rsidR="00BF61E2" w:rsidRDefault="00000000">
      <w:pPr>
        <w:numPr>
          <w:ilvl w:val="0"/>
          <w:numId w:val="6"/>
        </w:numPr>
        <w:spacing w:after="0"/>
        <w:ind w:left="361"/>
        <w:rPr>
          <w:rFonts w:ascii="Noto Sans Symbols" w:eastAsia="Noto Sans Symbols" w:hAnsi="Noto Sans Symbols" w:cs="Noto Sans Symbols"/>
          <w:color w:val="000000"/>
        </w:rPr>
      </w:pPr>
      <w:r>
        <w:t>La planification de la deuxième conférence virtuelle annuelle est en cours ; la date provisoire est fixée à avril 2026.</w:t>
      </w:r>
    </w:p>
    <w:p w14:paraId="75B79658" w14:textId="77777777" w:rsidR="00BF61E2" w:rsidRDefault="00000000">
      <w:pPr>
        <w:pStyle w:val="Heading3"/>
        <w:tabs>
          <w:tab w:val="left" w:pos="461"/>
          <w:tab w:val="left" w:pos="461"/>
        </w:tabs>
        <w:spacing w:before="200" w:after="200" w:line="276" w:lineRule="auto"/>
      </w:pPr>
      <w:bookmarkStart w:id="11" w:name="_heading=h.tka7bgw8fnjr" w:colFirst="0" w:colLast="0"/>
      <w:bookmarkEnd w:id="11"/>
      <w:r>
        <w:t>Plan de collaboration élaboré avec des partenaires internationaux :</w:t>
      </w:r>
    </w:p>
    <w:p w14:paraId="1F0F9333" w14:textId="77777777" w:rsidR="00BF61E2" w:rsidRDefault="00000000">
      <w:pPr>
        <w:numPr>
          <w:ilvl w:val="0"/>
          <w:numId w:val="18"/>
        </w:numPr>
        <w:spacing w:after="0"/>
        <w:rPr>
          <w:color w:val="000000"/>
        </w:rPr>
      </w:pPr>
      <w:r>
        <w:t xml:space="preserve">L’équipe de mobilisation du public et le Population </w:t>
      </w:r>
      <w:proofErr w:type="spellStart"/>
      <w:r>
        <w:t>Health</w:t>
      </w:r>
      <w:proofErr w:type="spellEnd"/>
      <w:r>
        <w:t xml:space="preserve"> </w:t>
      </w:r>
      <w:proofErr w:type="spellStart"/>
      <w:r>
        <w:t>Research</w:t>
      </w:r>
      <w:proofErr w:type="spellEnd"/>
      <w:r>
        <w:t xml:space="preserve"> Network (PHRN) Australie ont soumis à The Conversation deux articles liés qui décrivent leur travail conjoint sur la légitimité sociale.</w:t>
      </w:r>
    </w:p>
    <w:p w14:paraId="338ECE4A" w14:textId="77777777" w:rsidR="00BF61E2" w:rsidRDefault="00000000">
      <w:pPr>
        <w:numPr>
          <w:ilvl w:val="0"/>
          <w:numId w:val="18"/>
        </w:numPr>
        <w:spacing w:after="0"/>
        <w:rPr>
          <w:color w:val="000000"/>
        </w:rPr>
      </w:pPr>
      <w:r>
        <w:t>Un article présentant les conclusions de l’atelier conjoint (PHRN Australie et RRDS Canada) sur la légitimité sociale au Canada, organisé dans le cadre de l’IPDLN 2025, est en cours de rédaction en vue d’être soumis à une revue à comité de lecture.</w:t>
      </w:r>
    </w:p>
    <w:p w14:paraId="088CC0A8" w14:textId="77777777" w:rsidR="00BF61E2" w:rsidRDefault="00000000">
      <w:pPr>
        <w:pStyle w:val="Heading3"/>
        <w:tabs>
          <w:tab w:val="left" w:pos="461"/>
          <w:tab w:val="left" w:pos="461"/>
        </w:tabs>
        <w:spacing w:before="200" w:after="200" w:line="276" w:lineRule="auto"/>
      </w:pPr>
      <w:bookmarkStart w:id="12" w:name="_heading=h.7kejxo2avvxh" w:colFirst="0" w:colLast="0"/>
      <w:bookmarkEnd w:id="12"/>
      <w:r>
        <w:t xml:space="preserve">Partenariat avec </w:t>
      </w:r>
      <w:proofErr w:type="spellStart"/>
      <w:r>
        <w:t>CanReview</w:t>
      </w:r>
      <w:proofErr w:type="spellEnd"/>
      <w:r>
        <w:t> :</w:t>
      </w:r>
    </w:p>
    <w:p w14:paraId="1AC7A35B" w14:textId="77777777" w:rsidR="00BF61E2" w:rsidRDefault="00000000">
      <w:pPr>
        <w:numPr>
          <w:ilvl w:val="0"/>
          <w:numId w:val="9"/>
        </w:numPr>
        <w:spacing w:after="0"/>
        <w:rPr>
          <w:color w:val="000000"/>
        </w:rPr>
      </w:pPr>
      <w:r>
        <w:t xml:space="preserve">RRDS Canada est désormais partenaire de </w:t>
      </w:r>
      <w:proofErr w:type="spellStart"/>
      <w:r>
        <w:t>CanReview</w:t>
      </w:r>
      <w:proofErr w:type="spellEnd"/>
      <w:r>
        <w:t xml:space="preserve">, un geste de soutien à cette initiative.  </w:t>
      </w:r>
    </w:p>
    <w:p w14:paraId="77D2A7FB" w14:textId="77777777" w:rsidR="00BF61E2" w:rsidRDefault="00000000">
      <w:pPr>
        <w:numPr>
          <w:ilvl w:val="0"/>
          <w:numId w:val="9"/>
        </w:numPr>
        <w:spacing w:after="0"/>
        <w:rPr>
          <w:color w:val="000000"/>
        </w:rPr>
      </w:pPr>
      <w:r>
        <w:t xml:space="preserve">L’objectif est de collaborer avec </w:t>
      </w:r>
      <w:proofErr w:type="spellStart"/>
      <w:r>
        <w:t>CanReview</w:t>
      </w:r>
      <w:proofErr w:type="spellEnd"/>
      <w:r>
        <w:t xml:space="preserve"> afin de faciliter l’obtention d’une autorisation partagée du comité d’éthique de la recherche pour les travaux de recherche impliquant un accès secondaire à des données administratives.  </w:t>
      </w:r>
    </w:p>
    <w:p w14:paraId="678344CA" w14:textId="77777777" w:rsidR="00BF61E2" w:rsidRDefault="00000000">
      <w:pPr>
        <w:numPr>
          <w:ilvl w:val="0"/>
          <w:numId w:val="9"/>
        </w:numPr>
        <w:spacing w:after="0"/>
        <w:rPr>
          <w:color w:val="000000"/>
        </w:rPr>
      </w:pPr>
      <w:r>
        <w:t xml:space="preserve">L’équipe chargée de la protection de la vie privée travaille actuellement avec </w:t>
      </w:r>
      <w:proofErr w:type="spellStart"/>
      <w:r>
        <w:t>CanReview</w:t>
      </w:r>
      <w:proofErr w:type="spellEnd"/>
      <w:r>
        <w:t xml:space="preserve"> afin de déterminer les principaux organismes d’éthique de la recherche, en vue de préparer les discussions au niveau régional qui permettront de faire avancer ce travail.</w:t>
      </w:r>
    </w:p>
    <w:p w14:paraId="31F2D5EC" w14:textId="77777777" w:rsidR="00BF61E2" w:rsidRDefault="00000000">
      <w:pPr>
        <w:pStyle w:val="Heading3"/>
        <w:tabs>
          <w:tab w:val="left" w:pos="461"/>
          <w:tab w:val="left" w:pos="461"/>
        </w:tabs>
        <w:spacing w:before="200" w:after="200" w:line="276" w:lineRule="auto"/>
      </w:pPr>
      <w:bookmarkStart w:id="13" w:name="_heading=h.x2kv801flegk" w:colFirst="0" w:colLast="0"/>
      <w:bookmarkEnd w:id="13"/>
      <w:r>
        <w:lastRenderedPageBreak/>
        <w:t xml:space="preserve">Poursuite des réunions du forum </w:t>
      </w:r>
      <w:proofErr w:type="spellStart"/>
      <w:r>
        <w:t>Working</w:t>
      </w:r>
      <w:proofErr w:type="spellEnd"/>
      <w:r>
        <w:t xml:space="preserve"> </w:t>
      </w:r>
      <w:proofErr w:type="spellStart"/>
      <w:r>
        <w:t>with</w:t>
      </w:r>
      <w:proofErr w:type="spellEnd"/>
      <w:r>
        <w:t xml:space="preserve"> </w:t>
      </w:r>
      <w:proofErr w:type="spellStart"/>
      <w:r>
        <w:t>Federated</w:t>
      </w:r>
      <w:proofErr w:type="spellEnd"/>
      <w:r>
        <w:t xml:space="preserve"> Data (travailler avec des données fédérées) de l’Alliance pour la recherche sur les données de santé :</w:t>
      </w:r>
    </w:p>
    <w:p w14:paraId="4C057EB9" w14:textId="77777777" w:rsidR="00BF61E2" w:rsidRDefault="00000000">
      <w:pPr>
        <w:numPr>
          <w:ilvl w:val="0"/>
          <w:numId w:val="12"/>
        </w:numPr>
        <w:spacing w:after="0"/>
        <w:rPr>
          <w:color w:val="000000"/>
        </w:rPr>
      </w:pPr>
      <w:r>
        <w:t xml:space="preserve">Les réunions du forum </w:t>
      </w:r>
      <w:proofErr w:type="spellStart"/>
      <w:r>
        <w:t>Working</w:t>
      </w:r>
      <w:proofErr w:type="spellEnd"/>
      <w:r>
        <w:t xml:space="preserve"> </w:t>
      </w:r>
      <w:proofErr w:type="spellStart"/>
      <w:r>
        <w:t>with</w:t>
      </w:r>
      <w:proofErr w:type="spellEnd"/>
      <w:r>
        <w:t xml:space="preserve"> </w:t>
      </w:r>
      <w:proofErr w:type="spellStart"/>
      <w:r>
        <w:t>Federated</w:t>
      </w:r>
      <w:proofErr w:type="spellEnd"/>
      <w:r>
        <w:t xml:space="preserve"> Data se sont poursuivies avec une intervention d’un conférencier invité du Population </w:t>
      </w:r>
      <w:proofErr w:type="spellStart"/>
      <w:r>
        <w:t>Health</w:t>
      </w:r>
      <w:proofErr w:type="spellEnd"/>
      <w:r>
        <w:t xml:space="preserve"> </w:t>
      </w:r>
      <w:proofErr w:type="spellStart"/>
      <w:r>
        <w:t>Research</w:t>
      </w:r>
      <w:proofErr w:type="spellEnd"/>
      <w:r>
        <w:t xml:space="preserve"> Network (PHRN) Australie sur le thème du programme national australien d’acceptation mutuelle et du guichet unique national pour l’éthique.</w:t>
      </w:r>
    </w:p>
    <w:p w14:paraId="09DB5DB2" w14:textId="77777777" w:rsidR="00BF61E2" w:rsidRDefault="00000000">
      <w:pPr>
        <w:pStyle w:val="Heading3"/>
        <w:tabs>
          <w:tab w:val="left" w:pos="461"/>
          <w:tab w:val="left" w:pos="461"/>
        </w:tabs>
        <w:spacing w:before="200" w:after="200" w:line="276" w:lineRule="auto"/>
      </w:pPr>
      <w:bookmarkStart w:id="14" w:name="_heading=h.jj8s52xh2nm1" w:colFirst="0" w:colLast="0"/>
      <w:bookmarkEnd w:id="14"/>
      <w:r>
        <w:t>Poursuite de la collaboration avec les partenaires internationaux :</w:t>
      </w:r>
    </w:p>
    <w:p w14:paraId="3FA62B03" w14:textId="77777777" w:rsidR="00BF61E2" w:rsidRDefault="00000000">
      <w:pPr>
        <w:numPr>
          <w:ilvl w:val="0"/>
          <w:numId w:val="2"/>
        </w:numPr>
        <w:spacing w:after="0"/>
        <w:rPr>
          <w:color w:val="000000"/>
        </w:rPr>
      </w:pPr>
      <w:r>
        <w:t xml:space="preserve">Le comité de coordination des partenaires internationaux (RRDS Canada, </w:t>
      </w:r>
      <w:proofErr w:type="spellStart"/>
      <w:r>
        <w:t>Health</w:t>
      </w:r>
      <w:proofErr w:type="spellEnd"/>
      <w:r>
        <w:t xml:space="preserve"> Data </w:t>
      </w:r>
      <w:proofErr w:type="spellStart"/>
      <w:r>
        <w:t>Research</w:t>
      </w:r>
      <w:proofErr w:type="spellEnd"/>
      <w:r>
        <w:t xml:space="preserve"> au Royaume-Uni, Administrative Data au Royaume-Uni et Population </w:t>
      </w:r>
      <w:proofErr w:type="spellStart"/>
      <w:r>
        <w:t>Health</w:t>
      </w:r>
      <w:proofErr w:type="spellEnd"/>
      <w:r>
        <w:t xml:space="preserve"> </w:t>
      </w:r>
      <w:proofErr w:type="spellStart"/>
      <w:r>
        <w:t>Research</w:t>
      </w:r>
      <w:proofErr w:type="spellEnd"/>
      <w:r>
        <w:t xml:space="preserve"> Network en Australie) a poursuivi ses réunions mensuelles et proposé un plan de collaboration pour 2025-2026, ainsi que des soumissions pour des activités à l’IPDLN 2026.</w:t>
      </w:r>
    </w:p>
    <w:p w14:paraId="64CCF884" w14:textId="77777777" w:rsidR="00BF61E2" w:rsidRDefault="00000000">
      <w:pPr>
        <w:numPr>
          <w:ilvl w:val="0"/>
          <w:numId w:val="2"/>
        </w:numPr>
        <w:spacing w:after="0"/>
        <w:rPr>
          <w:color w:val="000000"/>
        </w:rPr>
      </w:pPr>
      <w:r>
        <w:t>Une réunion virtuelle des hauts dirigeants des partenaires internationaux s’est tenue en octobre. Les dirigeants ont partagé le contexte des plus grandes réussites et des plus grands enjeux de chaque organisation au cours de l’année écoulée, et les membres du comité de coordination ont fait le point sur les trois groupes d’action collaborative 1. Légitimité sociale; 2. Outils pour faciliter l’utilisation des données; et 3. Harmonisation des données et études internationales. Les participants ont également réfléchi à des idées et à des possibilités de collaboration entre les différents thèmes du groupe d’action et ont examiné les prochaines étapes.</w:t>
      </w:r>
    </w:p>
    <w:p w14:paraId="2666C568" w14:textId="77777777" w:rsidR="00BF61E2" w:rsidRDefault="00000000">
      <w:pPr>
        <w:pStyle w:val="Heading3"/>
        <w:tabs>
          <w:tab w:val="left" w:pos="461"/>
          <w:tab w:val="left" w:pos="461"/>
        </w:tabs>
        <w:spacing w:before="200" w:after="200" w:line="276" w:lineRule="auto"/>
      </w:pPr>
      <w:bookmarkStart w:id="15" w:name="_heading=h.1xaj1yk6vd48" w:colFirst="0" w:colLast="0"/>
      <w:bookmarkEnd w:id="15"/>
      <w:r>
        <w:t>Comité consultatif de la Plateforme canadienne de données de la Stratégie de recherche axée sur le patient (PCD de la SRAP) :</w:t>
      </w:r>
    </w:p>
    <w:p w14:paraId="4FAFFE5F" w14:textId="77777777" w:rsidR="00BF61E2" w:rsidRDefault="00000000">
      <w:pPr>
        <w:numPr>
          <w:ilvl w:val="0"/>
          <w:numId w:val="19"/>
        </w:numPr>
        <w:spacing w:after="0"/>
        <w:rPr>
          <w:color w:val="000000"/>
        </w:rPr>
      </w:pPr>
      <w:r>
        <w:t>Le comité consultatif de la PCD de la SRAP a tenu sa 17</w:t>
      </w:r>
      <w:r>
        <w:rPr>
          <w:vertAlign w:val="superscript"/>
        </w:rPr>
        <w:t>e</w:t>
      </w:r>
      <w:r>
        <w:t xml:space="preserve"> réunion. Les membres ont fourni des commentaires et des suggestions sur les points suivants : l’analyse environnementale interne de RRDS Canada sur les activités liées à la souveraineté et à la gouvernance des données autochtones menées par les membres du groupe </w:t>
      </w:r>
      <w:r>
        <w:lastRenderedPageBreak/>
        <w:t>d’apprentissage et de travail sur les données autochtones, ainsi que le nouveau projet pilote de dictionnaire conceptuel pancanadien de RRDS Canada.</w:t>
      </w:r>
    </w:p>
    <w:p w14:paraId="2DBE6951" w14:textId="77777777" w:rsidR="00BF61E2" w:rsidRDefault="00000000">
      <w:pPr>
        <w:pStyle w:val="Heading3"/>
        <w:tabs>
          <w:tab w:val="left" w:pos="461"/>
          <w:tab w:val="left" w:pos="461"/>
        </w:tabs>
        <w:spacing w:before="200" w:after="200" w:line="276" w:lineRule="auto"/>
      </w:pPr>
      <w:bookmarkStart w:id="16" w:name="_heading=h.54th3d13azkf" w:colFirst="0" w:colLast="0"/>
      <w:bookmarkEnd w:id="16"/>
      <w:r>
        <w:t>Élargissement du couplage des données d’Immigration, Réfugiés et Citoyenneté Canada (IRCC)</w:t>
      </w:r>
    </w:p>
    <w:p w14:paraId="7CDB03FE" w14:textId="77777777" w:rsidR="00BF61E2" w:rsidRDefault="00000000">
      <w:pPr>
        <w:numPr>
          <w:ilvl w:val="0"/>
          <w:numId w:val="1"/>
        </w:numPr>
        <w:spacing w:after="0"/>
        <w:rPr>
          <w:color w:val="000000"/>
        </w:rPr>
      </w:pPr>
      <w:r>
        <w:t xml:space="preserve"> L’Institut de la statistique du Québec a reçu en septembre les données de l’IRCC sur les résidents permanents et les résidents temporaires et a commencé le travail de couplage.</w:t>
      </w:r>
    </w:p>
    <w:p w14:paraId="7935109F" w14:textId="77777777" w:rsidR="00BF61E2" w:rsidRDefault="00000000">
      <w:pPr>
        <w:pStyle w:val="Heading2"/>
        <w:tabs>
          <w:tab w:val="left" w:pos="461"/>
        </w:tabs>
        <w:spacing w:before="200"/>
        <w:rPr>
          <w:sz w:val="22"/>
          <w:szCs w:val="22"/>
        </w:rPr>
      </w:pPr>
      <w:r>
        <w:t>Objectif 4 : Renforcer l’utilisation des données pour améliorer l’équité et soutenir la souveraineté des données dirigées par les peuples autochtones</w:t>
      </w:r>
    </w:p>
    <w:p w14:paraId="03CB8C71" w14:textId="77777777" w:rsidR="00BF61E2" w:rsidRDefault="00000000">
      <w:pPr>
        <w:pStyle w:val="Heading3"/>
        <w:tabs>
          <w:tab w:val="left" w:pos="461"/>
          <w:tab w:val="left" w:pos="461"/>
          <w:tab w:val="left" w:pos="461"/>
          <w:tab w:val="left" w:pos="461"/>
          <w:tab w:val="left" w:pos="461"/>
          <w:tab w:val="left" w:pos="461"/>
          <w:tab w:val="left" w:pos="461"/>
        </w:tabs>
        <w:spacing w:before="200" w:after="200"/>
      </w:pPr>
      <w:bookmarkStart w:id="17" w:name="_heading=h.6bbsrun98os4" w:colFirst="0" w:colLast="0"/>
      <w:bookmarkEnd w:id="17"/>
      <w:r>
        <w:t>Mise en œuvre des composants de la stratégie d’inclusion, diversité, équité et accessibilité (IDEA) dans notre plan stratégique</w:t>
      </w:r>
    </w:p>
    <w:p w14:paraId="32D77516" w14:textId="77777777" w:rsidR="00BF61E2"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18" w:name="_heading=h.660190dp7kxt" w:colFirst="0" w:colLast="0"/>
      <w:bookmarkEnd w:id="18"/>
      <w:r>
        <w:t>Stratégie IDEA 1 : Apprendre/désapprendre</w:t>
      </w:r>
    </w:p>
    <w:p w14:paraId="0EB3A303" w14:textId="77777777" w:rsidR="00BF61E2"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Le club de désapprentissage de la communauté de pratique a duré 15 mois et suscite toujours autant d’intérêt et de mobilisation. Il y a une volonté d’offrir cet apprentissage au conseil consultatif public (CCP) et au Groupe de travail sur les activités de mobilisation du grand public, et de l’inclure dans le processus d’intégration du personnel de RRDS Canada.</w:t>
      </w:r>
    </w:p>
    <w:p w14:paraId="1C8171A6" w14:textId="77777777" w:rsidR="00BF61E2"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Le sondage sur l’évaluation des besoins a été distribué à tous les membres de RRDS Canada, et plus d’un tiers d’entre eux y ont répondu. Cela aidera les membres de l’équipe IDEA à harmoniser les compétences fondamentales sélectionnées avec les différents rôles qui existent dans le domaine des données administratives.</w:t>
      </w:r>
    </w:p>
    <w:p w14:paraId="2CF1B2B1" w14:textId="77777777" w:rsidR="00BF61E2" w:rsidRDefault="00000000">
      <w:pPr>
        <w:numPr>
          <w:ilvl w:val="0"/>
          <w:numId w:val="16"/>
        </w:numPr>
        <w:tabs>
          <w:tab w:val="left" w:pos="461"/>
          <w:tab w:val="left" w:pos="461"/>
          <w:tab w:val="left" w:pos="461"/>
          <w:tab w:val="left" w:pos="461"/>
          <w:tab w:val="left" w:pos="461"/>
          <w:tab w:val="left" w:pos="461"/>
          <w:tab w:val="left" w:pos="461"/>
          <w:tab w:val="left" w:pos="461"/>
        </w:tabs>
        <w:spacing w:after="0"/>
      </w:pPr>
      <w:r>
        <w:t>La liste compilée des compétences IDEA est en cours de mise en correspondance.</w:t>
      </w:r>
    </w:p>
    <w:p w14:paraId="4F60EB6B" w14:textId="77777777" w:rsidR="00BF61E2"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19" w:name="_heading=h.kog15rpbbx65" w:colFirst="0" w:colLast="0"/>
      <w:bookmarkEnd w:id="19"/>
      <w:r>
        <w:t>Stratégie IDEA 2 : Faciliter l’IDEA dans la recherche de données</w:t>
      </w:r>
    </w:p>
    <w:p w14:paraId="54344DC6" w14:textId="77777777" w:rsidR="00BF61E2" w:rsidRDefault="00000000">
      <w:pPr>
        <w:numPr>
          <w:ilvl w:val="0"/>
          <w:numId w:val="17"/>
        </w:numPr>
        <w:tabs>
          <w:tab w:val="left" w:pos="461"/>
          <w:tab w:val="left" w:pos="461"/>
          <w:tab w:val="left" w:pos="461"/>
          <w:tab w:val="left" w:pos="461"/>
          <w:tab w:val="left" w:pos="461"/>
          <w:tab w:val="left" w:pos="461"/>
          <w:tab w:val="left" w:pos="461"/>
          <w:tab w:val="left" w:pos="461"/>
        </w:tabs>
        <w:spacing w:after="0"/>
      </w:pPr>
      <w:r>
        <w:t>La rédaction conjointe de la deuxième note d’information sur les modèles de données communs et la mobilisation à leur égard débuteront prochainement.</w:t>
      </w:r>
    </w:p>
    <w:p w14:paraId="75987FF7" w14:textId="77777777" w:rsidR="00BF61E2" w:rsidRDefault="00000000">
      <w:pPr>
        <w:numPr>
          <w:ilvl w:val="0"/>
          <w:numId w:val="17"/>
        </w:numPr>
        <w:tabs>
          <w:tab w:val="left" w:pos="461"/>
          <w:tab w:val="left" w:pos="461"/>
          <w:tab w:val="left" w:pos="461"/>
          <w:tab w:val="left" w:pos="461"/>
          <w:tab w:val="left" w:pos="461"/>
          <w:tab w:val="left" w:pos="461"/>
          <w:tab w:val="left" w:pos="461"/>
          <w:tab w:val="left" w:pos="461"/>
        </w:tabs>
        <w:spacing w:after="0"/>
      </w:pPr>
      <w:r>
        <w:lastRenderedPageBreak/>
        <w:t>Le modèle de note d’information intégrant les considérations relatives à l’IDEA a été présenté au groupe de travail et d’apprentissage sur les données autochtones afin de permettre l’intégration des questions et des préoccupations relatives à la souveraineté des données autochtones.</w:t>
      </w:r>
    </w:p>
    <w:p w14:paraId="76721B2B" w14:textId="77777777" w:rsidR="00BF61E2" w:rsidRDefault="00000000">
      <w:pPr>
        <w:numPr>
          <w:ilvl w:val="0"/>
          <w:numId w:val="17"/>
        </w:numPr>
        <w:tabs>
          <w:tab w:val="left" w:pos="461"/>
          <w:tab w:val="left" w:pos="461"/>
          <w:tab w:val="left" w:pos="461"/>
          <w:tab w:val="left" w:pos="461"/>
          <w:tab w:val="left" w:pos="461"/>
          <w:tab w:val="left" w:pos="461"/>
          <w:tab w:val="left" w:pos="461"/>
          <w:tab w:val="left" w:pos="461"/>
        </w:tabs>
        <w:spacing w:after="0"/>
      </w:pPr>
      <w:r>
        <w:t>Les membres de l’équipe IDEA jouent un rôle clé dans la préparation des demandes du projet CAN-ASK, notamment en élaborant des lignes directrices pour l’intégration de l’IDEA aux projets de recherche et en créant des normes communes pour les sites et les demandeurs afin de renforcer leurs capacités à appliquer l’inclusion, la diversité, l’équité et l’accessibilité.</w:t>
      </w:r>
    </w:p>
    <w:p w14:paraId="128924CE" w14:textId="77777777" w:rsidR="00BF61E2"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0" w:name="_heading=h.c6g3wkftjvsm" w:colFirst="0" w:colLast="0"/>
      <w:bookmarkEnd w:id="20"/>
      <w:r>
        <w:t>Stratégie IDEA 3 : Cultiver la confiance et la réciprocité dans les partenariats communautaires</w:t>
      </w:r>
    </w:p>
    <w:p w14:paraId="3255A0C5" w14:textId="77777777" w:rsidR="00BF61E2" w:rsidRDefault="00000000">
      <w:pPr>
        <w:numPr>
          <w:ilvl w:val="0"/>
          <w:numId w:val="7"/>
        </w:numPr>
        <w:tabs>
          <w:tab w:val="left" w:pos="461"/>
          <w:tab w:val="left" w:pos="461"/>
          <w:tab w:val="left" w:pos="461"/>
          <w:tab w:val="left" w:pos="461"/>
          <w:tab w:val="left" w:pos="461"/>
          <w:tab w:val="left" w:pos="461"/>
          <w:tab w:val="left" w:pos="461"/>
          <w:tab w:val="left" w:pos="461"/>
        </w:tabs>
        <w:spacing w:after="0"/>
      </w:pPr>
      <w:r>
        <w:t>L’examen environnemental a été distribué à tous les membres de RRDS Canada, et plus d’un tiers d’entre eux ont répondu. Les résultats seront analysés par l’équipe IDEA et le groupe de travail sur la mobilisation du public lors de la réunion en personne afin de déterminer la meilleure façon d’aller de l’avant et de s’harmoniser avec les autres outils créés au sein du réseau.</w:t>
      </w:r>
    </w:p>
    <w:p w14:paraId="1A05664F" w14:textId="77777777" w:rsidR="00BF61E2" w:rsidRDefault="00000000">
      <w:pPr>
        <w:numPr>
          <w:ilvl w:val="0"/>
          <w:numId w:val="7"/>
        </w:numPr>
        <w:tabs>
          <w:tab w:val="left" w:pos="461"/>
          <w:tab w:val="left" w:pos="461"/>
          <w:tab w:val="left" w:pos="461"/>
          <w:tab w:val="left" w:pos="461"/>
          <w:tab w:val="left" w:pos="461"/>
          <w:tab w:val="left" w:pos="461"/>
          <w:tab w:val="left" w:pos="461"/>
          <w:tab w:val="left" w:pos="461"/>
        </w:tabs>
        <w:spacing w:after="0"/>
      </w:pPr>
      <w:r>
        <w:t>Les projets pilotes d’IDEA au niveau organisationnel sont intégrés dans les documents de proposition de projet de RRDS Canada et dans les processus du plan de travail de CAN-ASK.</w:t>
      </w:r>
    </w:p>
    <w:p w14:paraId="5C3295C7" w14:textId="77777777" w:rsidR="00BF61E2" w:rsidRDefault="00000000">
      <w:pPr>
        <w:numPr>
          <w:ilvl w:val="0"/>
          <w:numId w:val="7"/>
        </w:numPr>
        <w:tabs>
          <w:tab w:val="left" w:pos="461"/>
          <w:tab w:val="left" w:pos="461"/>
          <w:tab w:val="left" w:pos="461"/>
          <w:tab w:val="left" w:pos="461"/>
          <w:tab w:val="left" w:pos="461"/>
          <w:tab w:val="left" w:pos="461"/>
          <w:tab w:val="left" w:pos="461"/>
          <w:tab w:val="left" w:pos="461"/>
        </w:tabs>
        <w:spacing w:after="0"/>
      </w:pPr>
      <w:r>
        <w:t>Les membres de l’équipe IDEA participent à la planification du programme du forum public de 2026.</w:t>
      </w:r>
    </w:p>
    <w:p w14:paraId="1BA8CC29" w14:textId="77777777" w:rsidR="00BF61E2"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1" w:name="_heading=h.7tjyxpds8hbh" w:colFirst="0" w:colLast="0"/>
      <w:bookmarkEnd w:id="21"/>
      <w:r>
        <w:t>Stratégie IDEA 4 : Leadership dans le cadre de l’IDEA</w:t>
      </w:r>
    </w:p>
    <w:p w14:paraId="35AD04B5" w14:textId="77777777" w:rsidR="00BF61E2"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Un document a été préparé qui décrit les domaines prioritaires et les recommandations pour faire progresser l’IDEA dans le domaine des données administratives, mais cela ne peut être réalisé par RRDS Canada seul. Ce document sera présenté à l’Alliance pour la recherche sur les données de santé afin de déterminer les domaines de collaboration et d’action.</w:t>
      </w:r>
    </w:p>
    <w:p w14:paraId="499A55FE" w14:textId="77777777" w:rsidR="00BF61E2" w:rsidRDefault="00000000">
      <w:pPr>
        <w:numPr>
          <w:ilvl w:val="0"/>
          <w:numId w:val="11"/>
        </w:numPr>
        <w:tabs>
          <w:tab w:val="left" w:pos="461"/>
          <w:tab w:val="left" w:pos="461"/>
          <w:tab w:val="left" w:pos="461"/>
          <w:tab w:val="left" w:pos="461"/>
          <w:tab w:val="left" w:pos="461"/>
          <w:tab w:val="left" w:pos="461"/>
          <w:tab w:val="left" w:pos="461"/>
          <w:tab w:val="left" w:pos="461"/>
        </w:tabs>
        <w:spacing w:after="0"/>
      </w:pPr>
      <w:r>
        <w:t xml:space="preserve">Le groupe Stratégie 4 travaille en étroite collaboration avec Partenariats afin de créer un cadre de cinq mesures de sécurité, qui sera mis en œuvre dans tous les sites </w:t>
      </w:r>
      <w:r>
        <w:lastRenderedPageBreak/>
        <w:t xml:space="preserve">membres de RRDS Canada. Ce cadre a été mis en place par le groupe CAN-ASK </w:t>
      </w:r>
      <w:proofErr w:type="spellStart"/>
      <w:r>
        <w:t>Private</w:t>
      </w:r>
      <w:proofErr w:type="spellEnd"/>
      <w:r>
        <w:t xml:space="preserve"> </w:t>
      </w:r>
      <w:proofErr w:type="spellStart"/>
      <w:r>
        <w:t>Sector</w:t>
      </w:r>
      <w:proofErr w:type="spellEnd"/>
      <w:r>
        <w:t xml:space="preserve"> </w:t>
      </w:r>
      <w:proofErr w:type="spellStart"/>
      <w:r>
        <w:t>Safeguards</w:t>
      </w:r>
      <w:proofErr w:type="spellEnd"/>
      <w:r>
        <w:t xml:space="preserve"> (mesures de protection du secteur privé) et offre à RRDS Canada l’occasion d’établir une norme, de fournir un soutien et des ressources aux organisations membres et de renforcer la confiance dans la recherche administrative.</w:t>
      </w:r>
    </w:p>
    <w:p w14:paraId="40E1BAA1" w14:textId="77777777" w:rsidR="00BF61E2"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2" w:name="_heading=h.u1hdf67k77za" w:colFirst="0" w:colLast="0"/>
      <w:bookmarkEnd w:id="22"/>
      <w:r>
        <w:t>La série de webinaires Les grandes idées sur les données de santé attire les foules :</w:t>
      </w:r>
    </w:p>
    <w:p w14:paraId="2EC185A9" w14:textId="77777777" w:rsidR="00BF61E2" w:rsidRDefault="00000000">
      <w:pPr>
        <w:numPr>
          <w:ilvl w:val="0"/>
          <w:numId w:val="8"/>
        </w:numPr>
        <w:tabs>
          <w:tab w:val="left" w:pos="461"/>
          <w:tab w:val="left" w:pos="461"/>
          <w:tab w:val="left" w:pos="461"/>
          <w:tab w:val="left" w:pos="461"/>
          <w:tab w:val="left" w:pos="461"/>
          <w:tab w:val="left" w:pos="461"/>
          <w:tab w:val="left" w:pos="461"/>
          <w:tab w:val="left" w:pos="461"/>
        </w:tabs>
        <w:spacing w:after="0"/>
      </w:pPr>
      <w:r>
        <w:t xml:space="preserve">La troisième année de la série de webinaires Les grandes idées sur les données de santé a débuté avec une présentation depuis le dernier rapport du PDG au Conseil d’administration. La présentation portait sur </w:t>
      </w:r>
      <w:hyperlink r:id="rId9">
        <w:r>
          <w:rPr>
            <w:color w:val="1155CC"/>
            <w:u w:val="single"/>
          </w:rPr>
          <w:t>le centrage de l’équité raciale tout au long du cycle de vie des données</w:t>
        </w:r>
      </w:hyperlink>
      <w:r>
        <w:t xml:space="preserve">. Sur </w:t>
      </w:r>
      <w:hyperlink r:id="rId10">
        <w:r>
          <w:rPr>
            <w:color w:val="1155CC"/>
            <w:u w:val="single"/>
          </w:rPr>
          <w:t>YouTube</w:t>
        </w:r>
      </w:hyperlink>
      <w:r>
        <w:t>, la série compte plus de 5 900 vues à ce jour.</w:t>
      </w:r>
    </w:p>
    <w:p w14:paraId="51316FB2" w14:textId="77777777" w:rsidR="00BF61E2" w:rsidRDefault="00000000">
      <w:pPr>
        <w:pStyle w:val="Heading4"/>
        <w:tabs>
          <w:tab w:val="left" w:pos="461"/>
          <w:tab w:val="left" w:pos="461"/>
          <w:tab w:val="left" w:pos="461"/>
          <w:tab w:val="left" w:pos="461"/>
          <w:tab w:val="left" w:pos="461"/>
          <w:tab w:val="left" w:pos="461"/>
          <w:tab w:val="left" w:pos="461"/>
          <w:tab w:val="left" w:pos="461"/>
        </w:tabs>
        <w:spacing w:before="200" w:after="0"/>
      </w:pPr>
      <w:bookmarkStart w:id="23" w:name="_heading=h.84pe8xkz4cdt" w:colFirst="0" w:colLast="0"/>
      <w:bookmarkEnd w:id="23"/>
      <w:r>
        <w:t>Intérêt croissant pour le contenu du club de désapprentissage sur l’IDEA de RRDS Canada :</w:t>
      </w:r>
    </w:p>
    <w:p w14:paraId="7096EE8E" w14:textId="77777777" w:rsidR="00BF61E2" w:rsidRDefault="00000000">
      <w:pPr>
        <w:numPr>
          <w:ilvl w:val="0"/>
          <w:numId w:val="3"/>
        </w:numPr>
        <w:tabs>
          <w:tab w:val="left" w:pos="461"/>
          <w:tab w:val="left" w:pos="461"/>
          <w:tab w:val="left" w:pos="461"/>
          <w:tab w:val="left" w:pos="461"/>
          <w:tab w:val="left" w:pos="461"/>
          <w:tab w:val="left" w:pos="461"/>
          <w:tab w:val="left" w:pos="461"/>
          <w:tab w:val="left" w:pos="461"/>
        </w:tabs>
      </w:pPr>
      <w:r>
        <w:t>Le programme d’apprentissage perfectionné est en cours de traduction en français et sera publié sur notre site Web, suivi de mini-modules créés en collaboration. Les trois premiers modules d’apprentissage sont à différents stades de création conjointe avec les membres de la communauté de pratique de l’IDEA. C’est la première étape pour créer un module d’apprentissage asynchrone sur l’IDEA dans les données administratives.</w:t>
      </w:r>
    </w:p>
    <w:p w14:paraId="694AB731" w14:textId="77777777" w:rsidR="00BF61E2" w:rsidRDefault="00000000">
      <w:pPr>
        <w:pStyle w:val="Heading2"/>
        <w:tabs>
          <w:tab w:val="left" w:pos="461"/>
        </w:tabs>
      </w:pPr>
      <w:r>
        <w:t>Objectif 5 : Assurer une participation publique et communautaire intentionnelle et continue</w:t>
      </w:r>
    </w:p>
    <w:p w14:paraId="7262CB82" w14:textId="77777777" w:rsidR="00BF61E2" w:rsidRDefault="00000000">
      <w:pPr>
        <w:pStyle w:val="Heading3"/>
        <w:tabs>
          <w:tab w:val="left" w:pos="461"/>
          <w:tab w:val="left" w:pos="461"/>
        </w:tabs>
        <w:spacing w:before="200" w:after="200" w:line="276" w:lineRule="auto"/>
      </w:pPr>
      <w:bookmarkStart w:id="24" w:name="_heading=h.i29keiq76wrk" w:colFirst="0" w:colLast="0"/>
      <w:bookmarkEnd w:id="24"/>
      <w:r>
        <w:t>La diffusion et le suivi de l’article de référence sur la confiance du public et la littératie des données en collaboration avec l’Agence de santé publique du Canada (ASPC) sont en cours :</w:t>
      </w:r>
    </w:p>
    <w:p w14:paraId="53262BF8" w14:textId="77777777" w:rsidR="00BF61E2" w:rsidRDefault="00000000">
      <w:pPr>
        <w:numPr>
          <w:ilvl w:val="0"/>
          <w:numId w:val="13"/>
        </w:numPr>
        <w:spacing w:after="0"/>
        <w:rPr>
          <w:color w:val="000000"/>
        </w:rPr>
      </w:pPr>
      <w:r>
        <w:t>Deux membres du conseil consultatif public ont collaboré avec les membres de l’équipe chargée de la participation du public et Kim McGrail à la rédaction d’une publication intitulée « </w:t>
      </w:r>
      <w:proofErr w:type="spellStart"/>
      <w:r>
        <w:t>Recommendations</w:t>
      </w:r>
      <w:proofErr w:type="spellEnd"/>
      <w:r>
        <w:t xml:space="preserve"> for Building Trust in </w:t>
      </w:r>
      <w:proofErr w:type="spellStart"/>
      <w:r>
        <w:t>Health</w:t>
      </w:r>
      <w:proofErr w:type="spellEnd"/>
      <w:r>
        <w:t xml:space="preserve"> Data </w:t>
      </w:r>
      <w:proofErr w:type="spellStart"/>
      <w:r>
        <w:t>Systems</w:t>
      </w:r>
      <w:proofErr w:type="spellEnd"/>
      <w:r>
        <w:t xml:space="preserve">: A Qualitative </w:t>
      </w:r>
      <w:proofErr w:type="spellStart"/>
      <w:r>
        <w:t>Study</w:t>
      </w:r>
      <w:proofErr w:type="spellEnd"/>
      <w:r>
        <w:t xml:space="preserve"> </w:t>
      </w:r>
      <w:proofErr w:type="spellStart"/>
      <w:r>
        <w:t>Informed</w:t>
      </w:r>
      <w:proofErr w:type="spellEnd"/>
      <w:r>
        <w:t xml:space="preserve"> by Patient and Public Engagement» (recommandations pour renforcer </w:t>
      </w:r>
      <w:r>
        <w:lastRenderedPageBreak/>
        <w:t xml:space="preserve">la confiance dans les systèmes de données sur la santé : étude qualitative fondée sur la participation des patients et du public), qui a été soumise à une revue à comité de lecture. </w:t>
      </w:r>
    </w:p>
    <w:p w14:paraId="7A719897" w14:textId="77777777" w:rsidR="00BF61E2" w:rsidRDefault="00000000">
      <w:pPr>
        <w:numPr>
          <w:ilvl w:val="0"/>
          <w:numId w:val="13"/>
        </w:numPr>
        <w:spacing w:after="0"/>
        <w:rPr>
          <w:color w:val="000000"/>
        </w:rPr>
      </w:pPr>
      <w:r>
        <w:t>Un webinaire conjoint avec d’autres partenaires clés de l’initiative de l’ASPC sur la confiance publique et la littératie en matière de données (CHIMA et SFU) a eu lieu le 20 octobre dans le cadre de la Semaine des professionnels de l’information sur la santé.</w:t>
      </w:r>
    </w:p>
    <w:p w14:paraId="72F7CE57" w14:textId="77777777" w:rsidR="00BF61E2" w:rsidRDefault="00000000">
      <w:pPr>
        <w:pStyle w:val="Heading3"/>
        <w:tabs>
          <w:tab w:val="left" w:pos="461"/>
          <w:tab w:val="left" w:pos="461"/>
        </w:tabs>
        <w:spacing w:before="200" w:after="200" w:line="276" w:lineRule="auto"/>
      </w:pPr>
      <w:bookmarkStart w:id="25" w:name="_heading=h.gl99s5isn9uz" w:colFirst="0" w:colLast="0"/>
      <w:bookmarkEnd w:id="25"/>
      <w:r>
        <w:t>Fort engagement du conseil consultatif public (CCP) :</w:t>
      </w:r>
    </w:p>
    <w:p w14:paraId="27B3D89E" w14:textId="77777777" w:rsidR="00BF61E2" w:rsidRDefault="00000000">
      <w:pPr>
        <w:numPr>
          <w:ilvl w:val="0"/>
          <w:numId w:val="4"/>
        </w:numPr>
        <w:spacing w:after="0"/>
        <w:rPr>
          <w:color w:val="000000"/>
          <w:sz w:val="22"/>
          <w:szCs w:val="22"/>
        </w:rPr>
      </w:pPr>
      <w:r>
        <w:t xml:space="preserve">S’appuyant sur les exercices précédents d’établissement des priorités, le CCP a déterminé les domaines prioritaires, notamment la sensibilisation par l’intermédiaire d’une collaboration plus étroite avec les décideurs politiques et les parties prenantes, sur lesquels il convient de travailler en 2025-2026. Toutes les initiatives du CCP porteront sur l’un des domaines prioritaires. Un document présentant les priorités et les actions prévues sera publié sur le site web de RRDS Canada. </w:t>
      </w:r>
    </w:p>
    <w:p w14:paraId="3989E65D" w14:textId="77777777" w:rsidR="00BF61E2" w:rsidRDefault="00000000">
      <w:pPr>
        <w:numPr>
          <w:ilvl w:val="0"/>
          <w:numId w:val="4"/>
        </w:numPr>
        <w:spacing w:after="0"/>
        <w:rPr>
          <w:color w:val="000000"/>
          <w:sz w:val="22"/>
          <w:szCs w:val="22"/>
        </w:rPr>
      </w:pPr>
      <w:r>
        <w:t xml:space="preserve">Les représentants du CCP sont des membres clés : </w:t>
      </w:r>
    </w:p>
    <w:p w14:paraId="7A5743C4" w14:textId="77777777" w:rsidR="00BF61E2" w:rsidRDefault="00000000">
      <w:pPr>
        <w:numPr>
          <w:ilvl w:val="1"/>
          <w:numId w:val="4"/>
        </w:numPr>
        <w:spacing w:after="0"/>
        <w:rPr>
          <w:color w:val="000000"/>
          <w:sz w:val="22"/>
          <w:szCs w:val="22"/>
        </w:rPr>
      </w:pPr>
      <w:proofErr w:type="gramStart"/>
      <w:r>
        <w:t>du</w:t>
      </w:r>
      <w:proofErr w:type="gramEnd"/>
      <w:r>
        <w:t xml:space="preserve"> comité du programme du forum public Des données de santé pour toutes et tous;</w:t>
      </w:r>
    </w:p>
    <w:p w14:paraId="00CFA913" w14:textId="77777777" w:rsidR="00BF61E2" w:rsidRDefault="00000000">
      <w:pPr>
        <w:numPr>
          <w:ilvl w:val="1"/>
          <w:numId w:val="4"/>
        </w:numPr>
        <w:spacing w:after="0"/>
        <w:rPr>
          <w:color w:val="000000"/>
          <w:sz w:val="22"/>
          <w:szCs w:val="22"/>
        </w:rPr>
      </w:pPr>
      <w:proofErr w:type="gramStart"/>
      <w:r>
        <w:t>de</w:t>
      </w:r>
      <w:proofErr w:type="gramEnd"/>
      <w:r>
        <w:t xml:space="preserve"> l’équipe tactique de CAN-ASK chargée de la mobilisation du public;</w:t>
      </w:r>
    </w:p>
    <w:p w14:paraId="3995DC8C" w14:textId="77777777" w:rsidR="00BF61E2" w:rsidRDefault="00000000">
      <w:pPr>
        <w:numPr>
          <w:ilvl w:val="1"/>
          <w:numId w:val="4"/>
        </w:numPr>
        <w:spacing w:after="0"/>
        <w:rPr>
          <w:color w:val="000000"/>
          <w:sz w:val="22"/>
          <w:szCs w:val="22"/>
        </w:rPr>
      </w:pPr>
      <w:proofErr w:type="gramStart"/>
      <w:r>
        <w:t>du</w:t>
      </w:r>
      <w:proofErr w:type="gramEnd"/>
      <w:r>
        <w:t xml:space="preserve"> groupe de travail sur le renouvellement et la prolongation de la PCD de la SRAP de Full Leads; et </w:t>
      </w:r>
    </w:p>
    <w:p w14:paraId="453ACBDD" w14:textId="77777777" w:rsidR="00BF61E2" w:rsidRDefault="00000000">
      <w:pPr>
        <w:numPr>
          <w:ilvl w:val="1"/>
          <w:numId w:val="4"/>
        </w:numPr>
        <w:spacing w:after="0"/>
        <w:rPr>
          <w:color w:val="000000"/>
        </w:rPr>
      </w:pPr>
      <w:proofErr w:type="gramStart"/>
      <w:r>
        <w:t>du</w:t>
      </w:r>
      <w:proofErr w:type="gramEnd"/>
      <w:r>
        <w:t xml:space="preserve"> groupe de travail sur la durabilité.</w:t>
      </w:r>
    </w:p>
    <w:p w14:paraId="7BABBCE4" w14:textId="77777777" w:rsidR="00BF61E2" w:rsidRDefault="00000000">
      <w:pPr>
        <w:numPr>
          <w:ilvl w:val="0"/>
          <w:numId w:val="4"/>
        </w:numPr>
        <w:spacing w:after="200"/>
        <w:rPr>
          <w:color w:val="000000"/>
          <w:sz w:val="22"/>
          <w:szCs w:val="22"/>
        </w:rPr>
      </w:pPr>
      <w:r>
        <w:t>Une campagne de recrutement du CCP a été organisée pendant l’été afin de remédier au manque de représentation des territoires. Malheureusement, les territoires ont très peu répondu et ceux qui l’ont fait avaient une expérience dans l’utilisation ou la recherche de données sur la santé. L’équipe chargée de la mobilisation du public examine actuellement les documents de recrutement afin de mieux cibler le public visé et lancera une campagne de recrutement au début de la nouvelle année. Le CCP compte 15 membres pour 2025-2026.</w:t>
      </w:r>
    </w:p>
    <w:p w14:paraId="067A6E58" w14:textId="77777777" w:rsidR="00BF61E2" w:rsidRDefault="00000000">
      <w:pPr>
        <w:pStyle w:val="Heading3"/>
        <w:tabs>
          <w:tab w:val="left" w:pos="461"/>
          <w:tab w:val="left" w:pos="461"/>
        </w:tabs>
        <w:spacing w:before="200" w:after="200" w:line="276" w:lineRule="auto"/>
      </w:pPr>
      <w:bookmarkStart w:id="26" w:name="_heading=h.n39pqyiv9c5s" w:colFirst="0" w:colLast="0"/>
      <w:bookmarkEnd w:id="26"/>
      <w:r>
        <w:lastRenderedPageBreak/>
        <w:t xml:space="preserve">Développement de produits de communication liés aux principales initiatives de mobilisation du grand public </w:t>
      </w:r>
    </w:p>
    <w:p w14:paraId="21E7CEA8" w14:textId="77777777" w:rsidR="00BF61E2" w:rsidRDefault="00000000">
      <w:pPr>
        <w:numPr>
          <w:ilvl w:val="0"/>
          <w:numId w:val="4"/>
        </w:numPr>
        <w:spacing w:after="0"/>
        <w:rPr>
          <w:color w:val="000000"/>
          <w:sz w:val="22"/>
          <w:szCs w:val="22"/>
        </w:rPr>
      </w:pPr>
      <w:r>
        <w:t xml:space="preserve">Un sous-groupe du CCP a créé un </w:t>
      </w:r>
      <w:hyperlink r:id="rId11">
        <w:r>
          <w:rPr>
            <w:color w:val="1155CC"/>
            <w:u w:val="single"/>
          </w:rPr>
          <w:t>glossaire des données de santé en langage clair</w:t>
        </w:r>
      </w:hyperlink>
      <w:r>
        <w:t xml:space="preserve">, qui a été lancé pendant le mois de la littératie en matière de données sur la santé (octobre 2025) avec une </w:t>
      </w:r>
      <w:hyperlink r:id="rId12">
        <w:r>
          <w:rPr>
            <w:color w:val="1155CC"/>
            <w:u w:val="single"/>
          </w:rPr>
          <w:t>promotion sur LinkedIn</w:t>
        </w:r>
      </w:hyperlink>
      <w:r>
        <w:t>.</w:t>
      </w:r>
    </w:p>
    <w:p w14:paraId="54EFCEB5" w14:textId="77777777" w:rsidR="00BF61E2" w:rsidRDefault="00000000">
      <w:pPr>
        <w:pStyle w:val="Heading3"/>
        <w:tabs>
          <w:tab w:val="left" w:pos="461"/>
          <w:tab w:val="left" w:pos="461"/>
        </w:tabs>
        <w:spacing w:before="200" w:after="200" w:line="276" w:lineRule="auto"/>
      </w:pPr>
      <w:bookmarkStart w:id="27" w:name="_heading=h.ufroniv91tyk" w:colFirst="0" w:colLast="0"/>
      <w:bookmarkEnd w:id="27"/>
      <w:r>
        <w:t>Des données de santé pour toutes et tous 2026</w:t>
      </w:r>
    </w:p>
    <w:p w14:paraId="0ED9E121" w14:textId="77777777" w:rsidR="00BF61E2" w:rsidRDefault="00000000">
      <w:pPr>
        <w:numPr>
          <w:ilvl w:val="0"/>
          <w:numId w:val="4"/>
        </w:numPr>
        <w:spacing w:after="0"/>
        <w:rPr>
          <w:color w:val="000000"/>
          <w:sz w:val="22"/>
          <w:szCs w:val="22"/>
        </w:rPr>
      </w:pPr>
      <w:r>
        <w:t xml:space="preserve">La planification du Forum 2026 est en cours. Le thème sera « Le parcours des données sur la santé » et le lieu a été réservé à Ottawa pour le 21 avril 2026. </w:t>
      </w:r>
    </w:p>
    <w:p w14:paraId="579E6DA1" w14:textId="77777777" w:rsidR="00BF61E2" w:rsidRDefault="00000000">
      <w:pPr>
        <w:pStyle w:val="Heading3"/>
        <w:tabs>
          <w:tab w:val="left" w:pos="461"/>
          <w:tab w:val="left" w:pos="461"/>
        </w:tabs>
        <w:spacing w:before="200" w:after="200" w:line="276" w:lineRule="auto"/>
      </w:pPr>
      <w:bookmarkStart w:id="28" w:name="_heading=h.af5w8v6wd485" w:colFirst="0" w:colLast="0"/>
      <w:bookmarkEnd w:id="28"/>
      <w:r>
        <w:t>Soutien continu du groupe de travail sur les activités de mobilisation du grand public auprès du CCP et pour toutes les initiatives majeures de mobilisation du public</w:t>
      </w:r>
    </w:p>
    <w:p w14:paraId="73E08DA1" w14:textId="77777777" w:rsidR="00BF61E2" w:rsidRDefault="00000000">
      <w:pPr>
        <w:numPr>
          <w:ilvl w:val="0"/>
          <w:numId w:val="4"/>
        </w:numPr>
        <w:spacing w:after="0"/>
        <w:rPr>
          <w:color w:val="000000"/>
          <w:sz w:val="22"/>
          <w:szCs w:val="22"/>
        </w:rPr>
      </w:pPr>
      <w:r>
        <w:t>Le groupe de travail de mobilisation du public continue de se réunir régulièrement, et l’engagement actif du site fait toujours l’objet de discussions. On espère que la nouvelle structure des réunions, dans laquelle une réunion sur deux sera consacrée au travail au sein des sites, permettra d’accroître la participation des sites.</w:t>
      </w:r>
    </w:p>
    <w:p w14:paraId="08A65905" w14:textId="77777777" w:rsidR="00BF61E2" w:rsidRDefault="00000000">
      <w:pPr>
        <w:numPr>
          <w:ilvl w:val="0"/>
          <w:numId w:val="4"/>
        </w:numPr>
        <w:spacing w:after="200"/>
        <w:rPr>
          <w:color w:val="000000"/>
          <w:sz w:val="22"/>
          <w:szCs w:val="22"/>
        </w:rPr>
      </w:pPr>
      <w:r>
        <w:t>Les priorités du CCP seront examinées lors de la réunion en personne du groupe de travail de mobilisation du public en octobre, et le plan de travail de ce groupe de travail sera élaboré afin de garantir que les priorités puissent être mises en œuvre.</w:t>
      </w:r>
    </w:p>
    <w:p w14:paraId="70B1CE22" w14:textId="77777777" w:rsidR="00BF61E2" w:rsidRDefault="00000000">
      <w:pPr>
        <w:pStyle w:val="Heading2"/>
        <w:tabs>
          <w:tab w:val="left" w:pos="461"/>
          <w:tab w:val="left" w:pos="461"/>
          <w:tab w:val="left" w:pos="461"/>
          <w:tab w:val="left" w:pos="461"/>
          <w:tab w:val="left" w:pos="461"/>
          <w:tab w:val="left" w:pos="461"/>
        </w:tabs>
        <w:spacing w:before="200"/>
      </w:pPr>
      <w:bookmarkStart w:id="29" w:name="_heading=h.jq1ix1sdg9nu" w:colFirst="0" w:colLast="0"/>
      <w:bookmarkEnd w:id="29"/>
      <w:r>
        <w:t>Facteur de réussite : un réseau cohésif avec des activités efficaces et durables</w:t>
      </w:r>
    </w:p>
    <w:p w14:paraId="703DECD4" w14:textId="77777777" w:rsidR="00BF61E2" w:rsidRDefault="00000000">
      <w:pPr>
        <w:pStyle w:val="Heading3"/>
        <w:tabs>
          <w:tab w:val="left" w:pos="461"/>
          <w:tab w:val="left" w:pos="461"/>
          <w:tab w:val="left" w:pos="461"/>
          <w:tab w:val="left" w:pos="461"/>
          <w:tab w:val="left" w:pos="461"/>
          <w:tab w:val="left" w:pos="461"/>
          <w:tab w:val="left" w:pos="461"/>
          <w:tab w:val="left" w:pos="461"/>
          <w:tab w:val="left" w:pos="461"/>
          <w:tab w:val="left" w:pos="461"/>
        </w:tabs>
        <w:spacing w:before="200" w:after="200" w:line="276" w:lineRule="auto"/>
      </w:pPr>
      <w:bookmarkStart w:id="30" w:name="_heading=h.c1c6qgvn1uju" w:colFirst="0" w:colLast="0"/>
      <w:bookmarkEnd w:id="30"/>
      <w:r>
        <w:t xml:space="preserve">Réponse aux recommandations sanitaires de </w:t>
      </w:r>
      <w:proofErr w:type="spellStart"/>
      <w:r>
        <w:t>Santis</w:t>
      </w:r>
      <w:proofErr w:type="spellEnd"/>
      <w:r>
        <w:t> :</w:t>
      </w:r>
    </w:p>
    <w:p w14:paraId="12B3723C" w14:textId="77777777" w:rsidR="00BF61E2" w:rsidRDefault="00000000">
      <w:pPr>
        <w:numPr>
          <w:ilvl w:val="0"/>
          <w:numId w:val="22"/>
        </w:numPr>
        <w:spacing w:after="0"/>
        <w:ind w:left="361"/>
        <w:rPr>
          <w:rFonts w:ascii="Noto Sans Symbols" w:eastAsia="Noto Sans Symbols" w:hAnsi="Noto Sans Symbols" w:cs="Noto Sans Symbols"/>
          <w:color w:val="000000"/>
        </w:rPr>
      </w:pPr>
      <w:r>
        <w:t xml:space="preserve">En réponse aux recommandations de </w:t>
      </w:r>
      <w:proofErr w:type="spellStart"/>
      <w:r>
        <w:t>Santis</w:t>
      </w:r>
      <w:proofErr w:type="spellEnd"/>
      <w:r>
        <w:t xml:space="preserve">, qui suggérait à RRDS Canada de produire des documents de communication décrivant plus clairement notre objectif, notre valeur et notre impact, RRDS Canada a élaboré un document intitulé « Case for Support » (arguments en faveur du soutien) qui explique : pourquoi notre travail est important à l’heure actuelle; ce qui est en jeu si rien ne change; ce que nous avons déjà accompli; ce que nous comptons faire ensuite; et le type de soutien dont nous avons besoin </w:t>
      </w:r>
      <w:r>
        <w:lastRenderedPageBreak/>
        <w:t xml:space="preserve">actuellement. Il s’agit du premier d’une série de documents et d’illustrations destinés à soutenir les activités de promotion et de sensibilisation au financement de RRDS Canada. </w:t>
      </w:r>
    </w:p>
    <w:p w14:paraId="09322CF6" w14:textId="77777777" w:rsidR="00BF61E2" w:rsidRDefault="00000000">
      <w:pPr>
        <w:pStyle w:val="Heading3"/>
        <w:tabs>
          <w:tab w:val="left" w:pos="461"/>
          <w:tab w:val="left" w:pos="461"/>
          <w:tab w:val="left" w:pos="461"/>
          <w:tab w:val="left" w:pos="461"/>
          <w:tab w:val="left" w:pos="461"/>
          <w:tab w:val="left" w:pos="461"/>
          <w:tab w:val="left" w:pos="461"/>
          <w:tab w:val="left" w:pos="461"/>
          <w:tab w:val="left" w:pos="461"/>
          <w:tab w:val="left" w:pos="461"/>
        </w:tabs>
        <w:spacing w:before="200" w:after="200" w:line="276" w:lineRule="auto"/>
        <w:rPr>
          <w:rFonts w:ascii="Noto Sans Symbols" w:eastAsia="Noto Sans Symbols" w:hAnsi="Noto Sans Symbols" w:cs="Noto Sans Symbols"/>
          <w:sz w:val="22"/>
          <w:szCs w:val="22"/>
        </w:rPr>
      </w:pPr>
      <w:bookmarkStart w:id="31" w:name="_heading=h.yt0muaz07hqb" w:colFirst="0" w:colLast="0"/>
      <w:bookmarkEnd w:id="31"/>
      <w:r>
        <w:t xml:space="preserve">Connexion, communication et collaboration </w:t>
      </w:r>
    </w:p>
    <w:p w14:paraId="64F37F94" w14:textId="77777777" w:rsidR="00BF61E2" w:rsidRDefault="00000000">
      <w:pPr>
        <w:numPr>
          <w:ilvl w:val="0"/>
          <w:numId w:val="22"/>
        </w:numPr>
        <w:spacing w:after="0"/>
        <w:ind w:left="361"/>
        <w:rPr>
          <w:rFonts w:ascii="Noto Sans Symbols" w:eastAsia="Noto Sans Symbols" w:hAnsi="Noto Sans Symbols" w:cs="Noto Sans Symbols"/>
          <w:color w:val="000000"/>
        </w:rPr>
      </w:pPr>
      <w:r>
        <w:t xml:space="preserve">RRDS Canada a tenu la deuxième réunion hybride en personne et en ligne de tous les groupes de travail et de toutes les équipes les 21 et 22 octobre 2025 à Montréal. Cette réunion annuelle entre les groupes de travail et les équipes est une occasion importante pour élaborer le plan de travail pour l’année à venir et rassembler les équipes pancanadiennes qui, autrement, ne pourraient pas se rencontrer en personne.  </w:t>
      </w:r>
    </w:p>
    <w:p w14:paraId="6C724307" w14:textId="77777777" w:rsidR="00BF61E2" w:rsidRDefault="00000000">
      <w:pPr>
        <w:numPr>
          <w:ilvl w:val="0"/>
          <w:numId w:val="22"/>
        </w:numPr>
        <w:spacing w:after="200"/>
        <w:ind w:left="361"/>
        <w:rPr>
          <w:rFonts w:ascii="Noto Sans Symbols" w:eastAsia="Noto Sans Symbols" w:hAnsi="Noto Sans Symbols" w:cs="Noto Sans Symbols"/>
          <w:color w:val="000000"/>
        </w:rPr>
      </w:pPr>
      <w:r>
        <w:t>L’équipe de communication de RRDS Canada a lancé deux nouvelles éditions externes du bulletin d’information Data Points (</w:t>
      </w:r>
      <w:hyperlink r:id="rId13">
        <w:r>
          <w:rPr>
            <w:color w:val="1155CC"/>
            <w:u w:val="single"/>
          </w:rPr>
          <w:t>septembre</w:t>
        </w:r>
      </w:hyperlink>
      <w:r>
        <w:t xml:space="preserve"> et </w:t>
      </w:r>
      <w:hyperlink r:id="rId14">
        <w:r>
          <w:rPr>
            <w:color w:val="1155CC"/>
            <w:u w:val="single"/>
          </w:rPr>
          <w:t>octobre</w:t>
        </w:r>
      </w:hyperlink>
      <w:r>
        <w:t>) afin de promouvoir la communication au sein du réseau.</w:t>
      </w:r>
    </w:p>
    <w:p w14:paraId="768263D1" w14:textId="77777777" w:rsidR="00BF61E2" w:rsidRDefault="00000000">
      <w:pPr>
        <w:pStyle w:val="Heading2"/>
        <w:tabs>
          <w:tab w:val="left" w:pos="461"/>
        </w:tabs>
        <w:spacing w:before="200"/>
      </w:pPr>
      <w:r>
        <w:t>Facteur de réussite : un écosystème législatif et stratégique favorable et engagé et une communauté d’utilisateurs de données active</w:t>
      </w:r>
    </w:p>
    <w:p w14:paraId="033C47EF" w14:textId="77777777" w:rsidR="00BF61E2" w:rsidRDefault="00000000">
      <w:pPr>
        <w:pStyle w:val="Heading3"/>
        <w:tabs>
          <w:tab w:val="left" w:pos="461"/>
          <w:tab w:val="left" w:pos="461"/>
          <w:tab w:val="left" w:pos="461"/>
        </w:tabs>
        <w:spacing w:after="200" w:line="276" w:lineRule="auto"/>
      </w:pPr>
      <w:bookmarkStart w:id="32" w:name="_heading=h.52plmwwn0hn0" w:colFirst="0" w:colLast="0"/>
      <w:bookmarkEnd w:id="32"/>
      <w:r>
        <w:t xml:space="preserve">Mise à jour sur l’initiative pancanadienne CAN-ASK : </w:t>
      </w:r>
    </w:p>
    <w:p w14:paraId="3AA04ACE" w14:textId="77777777" w:rsidR="00BF61E2" w:rsidRDefault="00000000">
      <w:pPr>
        <w:numPr>
          <w:ilvl w:val="0"/>
          <w:numId w:val="20"/>
        </w:numPr>
        <w:spacing w:after="0"/>
        <w:ind w:left="361"/>
      </w:pPr>
      <w:r>
        <w:t>Un comité directeur de la mise en œuvre de CAN-ASK et quatre équipes tactiques ont continué de se réunir.</w:t>
      </w:r>
    </w:p>
    <w:p w14:paraId="32629668" w14:textId="77777777" w:rsidR="00BF61E2" w:rsidRDefault="00000000">
      <w:pPr>
        <w:numPr>
          <w:ilvl w:val="0"/>
          <w:numId w:val="20"/>
        </w:numPr>
        <w:spacing w:after="0"/>
        <w:ind w:left="361"/>
      </w:pPr>
      <w:r>
        <w:t>Il existe trois projets CAN-ASK actifs :</w:t>
      </w:r>
    </w:p>
    <w:p w14:paraId="0B30EEE6" w14:textId="77777777" w:rsidR="00BF61E2" w:rsidRDefault="00000000">
      <w:pPr>
        <w:numPr>
          <w:ilvl w:val="1"/>
          <w:numId w:val="20"/>
        </w:numPr>
        <w:spacing w:after="0"/>
      </w:pPr>
      <w:proofErr w:type="gramStart"/>
      <w:r>
        <w:t>un</w:t>
      </w:r>
      <w:proofErr w:type="gramEnd"/>
      <w:r>
        <w:t xml:space="preserve"> projet avec CDA-AMC qui s’inscrit dans la continuité du projet Suivi et évaluation du diabète et de la contraception;</w:t>
      </w:r>
    </w:p>
    <w:p w14:paraId="6F499C3C" w14:textId="77777777" w:rsidR="00BF61E2" w:rsidRDefault="00000000">
      <w:pPr>
        <w:numPr>
          <w:ilvl w:val="1"/>
          <w:numId w:val="20"/>
        </w:numPr>
        <w:spacing w:after="0"/>
      </w:pPr>
      <w:proofErr w:type="gramStart"/>
      <w:r>
        <w:t>un</w:t>
      </w:r>
      <w:proofErr w:type="gramEnd"/>
      <w:r>
        <w:t xml:space="preserve"> projet mené avec IRCC sur l’utilisation des soins de santé par les immigrants par rapport aux résidents de longue date; et</w:t>
      </w:r>
    </w:p>
    <w:p w14:paraId="75FB89DA" w14:textId="77777777" w:rsidR="00BF61E2" w:rsidRDefault="00000000">
      <w:pPr>
        <w:numPr>
          <w:ilvl w:val="1"/>
          <w:numId w:val="20"/>
        </w:numPr>
        <w:spacing w:after="200"/>
      </w:pPr>
      <w:proofErr w:type="gramStart"/>
      <w:r>
        <w:t>un</w:t>
      </w:r>
      <w:proofErr w:type="gramEnd"/>
      <w:r>
        <w:t xml:space="preserve"> projet du secteur privé assorti d’un accord de confidentialité signé.</w:t>
      </w:r>
    </w:p>
    <w:p w14:paraId="4DE46B27" w14:textId="77777777" w:rsidR="00BF61E2" w:rsidRDefault="00BF61E2">
      <w:pPr>
        <w:spacing w:after="120" w:line="276" w:lineRule="auto"/>
      </w:pPr>
    </w:p>
    <w:sectPr w:rsidR="00BF61E2">
      <w:headerReference w:type="default" r:id="rId15"/>
      <w:footerReference w:type="even" r:id="rId16"/>
      <w:footerReference w:type="default" r:id="rId17"/>
      <w:headerReference w:type="first" r:id="rId18"/>
      <w:footerReference w:type="first" r:id="rId19"/>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68757" w14:textId="77777777" w:rsidR="002003EE" w:rsidRDefault="002003EE">
      <w:pPr>
        <w:spacing w:after="0" w:line="240" w:lineRule="auto"/>
      </w:pPr>
      <w:r>
        <w:separator/>
      </w:r>
    </w:p>
  </w:endnote>
  <w:endnote w:type="continuationSeparator" w:id="0">
    <w:p w14:paraId="6231199C" w14:textId="77777777" w:rsidR="002003EE" w:rsidRDefault="002003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37C0CE4A-6E9B-C144-88E9-91717874238E}"/>
    <w:embedBold r:id="rId2" w:fontKey="{88C9C4CE-DBE7-D441-9ACC-3C57D1680612}"/>
    <w:embedItalic r:id="rId3" w:fontKey="{F16FC9A6-080D-6647-A201-3DD965B9694F}"/>
  </w:font>
  <w:font w:name="Arial">
    <w:panose1 w:val="020B0604020202020204"/>
    <w:charset w:val="00"/>
    <w:family w:val="swiss"/>
    <w:pitch w:val="variable"/>
    <w:sig w:usb0="E0002AFF" w:usb1="C0007843" w:usb2="00000009" w:usb3="00000000" w:csb0="000001FF" w:csb1="00000000"/>
    <w:embedRegular r:id="rId4" w:fontKey="{5A0331BB-E106-A64A-B25B-6A161CCB7F9F}"/>
    <w:embedBold r:id="rId5" w:fontKey="{AF61FAC6-6871-434D-B993-39278A7A3D3B}"/>
    <w:embedItalic r:id="rId6" w:fontKey="{90D44DE1-AF60-A940-B41E-58266489E81D}"/>
  </w:font>
  <w:font w:name="Lato">
    <w:panose1 w:val="020F0502020204030203"/>
    <w:charset w:val="00"/>
    <w:family w:val="swiss"/>
    <w:pitch w:val="variable"/>
    <w:sig w:usb0="E10002FF" w:usb1="5000ECFF" w:usb2="00000021" w:usb3="00000000" w:csb0="0000019F" w:csb1="00000000"/>
    <w:embedRegular r:id="rId7" w:fontKey="{041898FC-388F-6642-BE8F-39AF1F2240E7}"/>
    <w:embedBold r:id="rId8" w:fontKey="{B6DF148B-3E2B-1743-AB47-84113AB0AD0B}"/>
  </w:font>
  <w:font w:name="Consolas">
    <w:panose1 w:val="020B0609020204030204"/>
    <w:charset w:val="00"/>
    <w:family w:val="modern"/>
    <w:pitch w:val="fixed"/>
    <w:sig w:usb0="E10002FF" w:usb1="4000FCFF" w:usb2="00000009" w:usb3="00000000" w:csb0="0000019F" w:csb1="00000000"/>
    <w:embedRegular r:id="rId9" w:fontKey="{1ADE0AA8-0023-8F45-9E40-378272EA929E}"/>
  </w:font>
  <w:font w:name="Calibri">
    <w:panose1 w:val="020F0502020204030204"/>
    <w:charset w:val="00"/>
    <w:family w:val="swiss"/>
    <w:pitch w:val="variable"/>
    <w:sig w:usb0="E0002AFF" w:usb1="C000247B" w:usb2="00000009" w:usb3="00000000" w:csb0="000001FF" w:csb1="00000000"/>
    <w:embedRegular r:id="rId10" w:fontKey="{76CF01A8-8AEB-8042-B100-4FCA76E70089}"/>
    <w:embedBold r:id="rId11" w:fontKey="{C87449AE-1F19-8F4C-BBEE-A2429D3B0113}"/>
  </w:font>
  <w:font w:name="Calibri Light">
    <w:panose1 w:val="020F0302020204030204"/>
    <w:charset w:val="00"/>
    <w:family w:val="swiss"/>
    <w:pitch w:val="variable"/>
    <w:sig w:usb0="E0002AFF" w:usb1="C000247B" w:usb2="00000009" w:usb3="00000000" w:csb0="000001FF" w:csb1="00000000"/>
    <w:embedRegular r:id="rId12" w:fontKey="{B0282CFF-5F95-9A43-92A7-D987F9CD7862}"/>
    <w:embedBold r:id="rId13" w:fontKey="{1E6D3047-4DA3-AC4D-B622-9A34C39F9F03}"/>
  </w:font>
  <w:font w:name="Cambria">
    <w:panose1 w:val="02040503050406030204"/>
    <w:charset w:val="00"/>
    <w:family w:val="roman"/>
    <w:pitch w:val="variable"/>
    <w:sig w:usb0="E00002FF" w:usb1="400004FF" w:usb2="00000000" w:usb3="00000000" w:csb0="0000019F" w:csb1="00000000"/>
    <w:embedRegular r:id="rId14" w:fontKey="{A4B63F55-2B35-4D47-B673-621F10B0B11D}"/>
  </w:font>
  <w:font w:name="Franklin Gothic Book">
    <w:panose1 w:val="020B0503020102020204"/>
    <w:charset w:val="00"/>
    <w:family w:val="swiss"/>
    <w:pitch w:val="variable"/>
    <w:sig w:usb0="00000287" w:usb1="00000000" w:usb2="00000000" w:usb3="00000000" w:csb0="0000009F" w:csb1="00000000"/>
    <w:embedBold r:id="rId15" w:fontKey="{F1F5D4D4-CECF-5C43-8B86-C6BA9F80B9BA}"/>
  </w:font>
  <w:font w:name="Segoe UI">
    <w:panose1 w:val="020B0502040204020203"/>
    <w:charset w:val="00"/>
    <w:family w:val="swiss"/>
    <w:pitch w:val="variable"/>
    <w:sig w:usb0="E4002EFF" w:usb1="C000E47F" w:usb2="00000009" w:usb3="00000000" w:csb0="000001FF" w:csb1="00000000"/>
    <w:embedRegular r:id="rId16" w:fontKey="{12F72A24-99F8-1A47-BD43-870E776F6DD0}"/>
  </w:font>
  <w:font w:name="Noto Sans Symbols">
    <w:charset w:val="00"/>
    <w:family w:val="auto"/>
    <w:pitch w:val="default"/>
    <w:embedRegular r:id="rId17" w:fontKey="{40E256F8-6624-694E-9189-443D2FD39E8B}"/>
  </w:font>
  <w:font w:name="Courier New">
    <w:panose1 w:val="02070309020205020404"/>
    <w:charset w:val="00"/>
    <w:family w:val="modern"/>
    <w:pitch w:val="fixed"/>
    <w:sig w:usb0="E0002AFF" w:usb1="C0007843" w:usb2="00000009" w:usb3="00000000" w:csb0="000001FF" w:csb1="00000000"/>
    <w:embedRegular r:id="rId18" w:fontKey="{7EA3F2F8-B50A-5142-96F1-7748EB1A9BB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3E9EF" w14:textId="77777777" w:rsidR="00BF61E2"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6623031" w14:textId="77777777" w:rsidR="00BF61E2" w:rsidRDefault="00BF61E2">
    <w:pPr>
      <w:pBdr>
        <w:top w:val="nil"/>
        <w:left w:val="nil"/>
        <w:bottom w:val="nil"/>
        <w:right w:val="nil"/>
        <w:between w:val="nil"/>
      </w:pBdr>
      <w:tabs>
        <w:tab w:val="center" w:pos="4680"/>
        <w:tab w:val="right" w:pos="9360"/>
      </w:tabs>
      <w:spacing w:after="0" w:line="240" w:lineRule="auto"/>
      <w:ind w:right="360" w:firstLine="360"/>
      <w:rPr>
        <w:color w:val="000000"/>
      </w:rPr>
    </w:pPr>
  </w:p>
  <w:p w14:paraId="2FDFB4BF" w14:textId="77777777" w:rsidR="00BF61E2" w:rsidRDefault="00BF61E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004C3" w14:textId="77777777" w:rsidR="00BF61E2" w:rsidRDefault="00000000">
    <w:pPr>
      <w:jc w:val="center"/>
    </w:pPr>
    <w:r>
      <w:rPr>
        <w:noProof/>
      </w:rPr>
      <w:drawing>
        <wp:anchor distT="0" distB="0" distL="114300" distR="114300" simplePos="0" relativeHeight="251658240" behindDoc="0" locked="0" layoutInCell="1" hidden="0" allowOverlap="1" wp14:anchorId="7F9C21DD" wp14:editId="23CC0FA7">
          <wp:simplePos x="0" y="0"/>
          <wp:positionH relativeFrom="column">
            <wp:posOffset>-98045</wp:posOffset>
          </wp:positionH>
          <wp:positionV relativeFrom="paragraph">
            <wp:posOffset>58418</wp:posOffset>
          </wp:positionV>
          <wp:extent cx="3164840" cy="822960"/>
          <wp:effectExtent l="0" t="0" r="0" b="0"/>
          <wp:wrapSquare wrapText="bothSides" distT="0" distB="0" distL="114300" distR="114300"/>
          <wp:docPr id="1903986593"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4"/>
                  <a:stretch>
                    <a:fillRect/>
                  </a:stretch>
                </pic:blipFill>
                <pic:spPr>
                  <a:xfrm>
                    <a:off x="0" y="0"/>
                    <a:ext cx="3164840" cy="822960"/>
                  </a:xfrm>
                  <a:prstGeom prst="rect">
                    <a:avLst/>
                  </a:prstGeom>
                  <a:ln/>
                </pic:spPr>
              </pic:pic>
            </a:graphicData>
          </a:graphic>
        </wp:anchor>
      </w:drawing>
    </w:r>
  </w:p>
  <w:p w14:paraId="2F036783" w14:textId="77777777" w:rsidR="00BF61E2"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9D3C72">
      <w:rPr>
        <w:noProof/>
        <w:color w:val="000000"/>
      </w:rPr>
      <w:t>2</w:t>
    </w:r>
    <w:r>
      <w:rPr>
        <w:color w:val="000000"/>
      </w:rPr>
      <w:fldChar w:fldCharType="end"/>
    </w:r>
  </w:p>
  <w:p w14:paraId="30A6C8AF" w14:textId="77777777" w:rsidR="00BF61E2" w:rsidRDefault="00BF61E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EB304" w14:textId="77777777" w:rsidR="00BF61E2"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1" locked="0" layoutInCell="1" hidden="0" allowOverlap="1" wp14:anchorId="66813097" wp14:editId="0531F02B">
              <wp:simplePos x="0" y="0"/>
              <wp:positionH relativeFrom="column">
                <wp:posOffset>-2006591</wp:posOffset>
              </wp:positionH>
              <wp:positionV relativeFrom="paragraph">
                <wp:posOffset>-241293</wp:posOffset>
              </wp:positionV>
              <wp:extent cx="9334500" cy="3385185"/>
              <wp:effectExtent l="0" t="0" r="0" b="0"/>
              <wp:wrapNone/>
              <wp:docPr id="1903986592" name="Group 1903986592"/>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320704600" name="Group 1320704600"/>
                      <wpg:cNvGrpSpPr/>
                      <wpg:grpSpPr>
                        <a:xfrm>
                          <a:off x="678750" y="2087408"/>
                          <a:ext cx="9334500" cy="3385185"/>
                          <a:chOff x="678750" y="2087400"/>
                          <a:chExt cx="9334500" cy="3385200"/>
                        </a:xfrm>
                      </wpg:grpSpPr>
                      <wps:wsp>
                        <wps:cNvPr id="1536803614" name="Rectangle 1536803614"/>
                        <wps:cNvSpPr/>
                        <wps:spPr>
                          <a:xfrm>
                            <a:off x="678750" y="2087400"/>
                            <a:ext cx="9334500" cy="3385200"/>
                          </a:xfrm>
                          <a:prstGeom prst="rect">
                            <a:avLst/>
                          </a:prstGeom>
                          <a:noFill/>
                          <a:ln>
                            <a:noFill/>
                          </a:ln>
                        </wps:spPr>
                        <wps:txbx>
                          <w:txbxContent>
                            <w:p w14:paraId="28FABFE1"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983411277" name="Group 983411277"/>
                        <wpg:cNvGrpSpPr/>
                        <wpg:grpSpPr>
                          <a:xfrm>
                            <a:off x="678750" y="2087408"/>
                            <a:ext cx="9334500" cy="3385185"/>
                            <a:chOff x="678750" y="2087400"/>
                            <a:chExt cx="9334500" cy="3385200"/>
                          </a:xfrm>
                        </wpg:grpSpPr>
                        <wps:wsp>
                          <wps:cNvPr id="646887559" name="Rectangle 646887559"/>
                          <wps:cNvSpPr/>
                          <wps:spPr>
                            <a:xfrm>
                              <a:off x="678750" y="2087400"/>
                              <a:ext cx="9334500" cy="3385200"/>
                            </a:xfrm>
                            <a:prstGeom prst="rect">
                              <a:avLst/>
                            </a:prstGeom>
                            <a:noFill/>
                            <a:ln>
                              <a:noFill/>
                            </a:ln>
                          </wps:spPr>
                          <wps:txbx>
                            <w:txbxContent>
                              <w:p w14:paraId="311207F7"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854046595" name="Group 1854046595"/>
                          <wpg:cNvGrpSpPr/>
                          <wpg:grpSpPr>
                            <a:xfrm>
                              <a:off x="678750" y="2087408"/>
                              <a:ext cx="9334500" cy="3385185"/>
                              <a:chOff x="678750" y="2087400"/>
                              <a:chExt cx="9334500" cy="3385200"/>
                            </a:xfrm>
                          </wpg:grpSpPr>
                          <wps:wsp>
                            <wps:cNvPr id="1296250899" name="Rectangle 1296250899"/>
                            <wps:cNvSpPr/>
                            <wps:spPr>
                              <a:xfrm>
                                <a:off x="678750" y="2087400"/>
                                <a:ext cx="9334500" cy="3385200"/>
                              </a:xfrm>
                              <a:prstGeom prst="rect">
                                <a:avLst/>
                              </a:prstGeom>
                              <a:noFill/>
                              <a:ln>
                                <a:noFill/>
                              </a:ln>
                            </wps:spPr>
                            <wps:txbx>
                              <w:txbxContent>
                                <w:p w14:paraId="70EDAB64"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638631853" name="Group 1638631853"/>
                            <wpg:cNvGrpSpPr/>
                            <wpg:grpSpPr>
                              <a:xfrm>
                                <a:off x="678750" y="2087408"/>
                                <a:ext cx="9334500" cy="3385185"/>
                                <a:chOff x="678750" y="2087400"/>
                                <a:chExt cx="9334500" cy="3385200"/>
                              </a:xfrm>
                            </wpg:grpSpPr>
                            <wps:wsp>
                              <wps:cNvPr id="1316345702" name="Rectangle 1316345702"/>
                              <wps:cNvSpPr/>
                              <wps:spPr>
                                <a:xfrm>
                                  <a:off x="678750" y="2087400"/>
                                  <a:ext cx="9334500" cy="3385200"/>
                                </a:xfrm>
                                <a:prstGeom prst="rect">
                                  <a:avLst/>
                                </a:prstGeom>
                                <a:noFill/>
                                <a:ln>
                                  <a:noFill/>
                                </a:ln>
                              </wps:spPr>
                              <wps:txbx>
                                <w:txbxContent>
                                  <w:p w14:paraId="51AAEC4B"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612376803" name="Group 612376803"/>
                              <wpg:cNvGrpSpPr/>
                              <wpg:grpSpPr>
                                <a:xfrm>
                                  <a:off x="678750" y="2087408"/>
                                  <a:ext cx="9334500" cy="3385185"/>
                                  <a:chOff x="678750" y="2087400"/>
                                  <a:chExt cx="9334500" cy="3385200"/>
                                </a:xfrm>
                              </wpg:grpSpPr>
                              <wps:wsp>
                                <wps:cNvPr id="195909221" name="Rectangle 195909221"/>
                                <wps:cNvSpPr/>
                                <wps:spPr>
                                  <a:xfrm>
                                    <a:off x="678750" y="2087400"/>
                                    <a:ext cx="9334500" cy="3385200"/>
                                  </a:xfrm>
                                  <a:prstGeom prst="rect">
                                    <a:avLst/>
                                  </a:prstGeom>
                                  <a:noFill/>
                                  <a:ln>
                                    <a:noFill/>
                                  </a:ln>
                                </wps:spPr>
                                <wps:txbx>
                                  <w:txbxContent>
                                    <w:p w14:paraId="6C64453C"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257179008" name="Group 257179008"/>
                                <wpg:cNvGrpSpPr/>
                                <wpg:grpSpPr>
                                  <a:xfrm>
                                    <a:off x="678750" y="2087408"/>
                                    <a:ext cx="9334500" cy="3385185"/>
                                    <a:chOff x="678750" y="2087400"/>
                                    <a:chExt cx="9334500" cy="3385200"/>
                                  </a:xfrm>
                                </wpg:grpSpPr>
                                <wps:wsp>
                                  <wps:cNvPr id="1512676845" name="Rectangle 1512676845"/>
                                  <wps:cNvSpPr/>
                                  <wps:spPr>
                                    <a:xfrm>
                                      <a:off x="678750" y="2087400"/>
                                      <a:ext cx="9334500" cy="3385200"/>
                                    </a:xfrm>
                                    <a:prstGeom prst="rect">
                                      <a:avLst/>
                                    </a:prstGeom>
                                    <a:noFill/>
                                    <a:ln>
                                      <a:noFill/>
                                    </a:ln>
                                  </wps:spPr>
                                  <wps:txbx>
                                    <w:txbxContent>
                                      <w:p w14:paraId="51BFAC4D"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764642106" name="Group 764642106"/>
                                  <wpg:cNvGrpSpPr/>
                                  <wpg:grpSpPr>
                                    <a:xfrm>
                                      <a:off x="678750" y="2087408"/>
                                      <a:ext cx="9334500" cy="3385185"/>
                                      <a:chOff x="678750" y="2087400"/>
                                      <a:chExt cx="9334500" cy="3385200"/>
                                    </a:xfrm>
                                  </wpg:grpSpPr>
                                  <wps:wsp>
                                    <wps:cNvPr id="947341771" name="Rectangle 947341771"/>
                                    <wps:cNvSpPr/>
                                    <wps:spPr>
                                      <a:xfrm>
                                        <a:off x="678750" y="2087400"/>
                                        <a:ext cx="9334500" cy="3385200"/>
                                      </a:xfrm>
                                      <a:prstGeom prst="rect">
                                        <a:avLst/>
                                      </a:prstGeom>
                                      <a:noFill/>
                                      <a:ln>
                                        <a:noFill/>
                                      </a:ln>
                                    </wps:spPr>
                                    <wps:txbx>
                                      <w:txbxContent>
                                        <w:p w14:paraId="19140AA4"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60899449" name="Group 60899449"/>
                                    <wpg:cNvGrpSpPr/>
                                    <wpg:grpSpPr>
                                      <a:xfrm>
                                        <a:off x="678750" y="2087408"/>
                                        <a:ext cx="9334500" cy="3385185"/>
                                        <a:chOff x="678750" y="2087400"/>
                                        <a:chExt cx="9334500" cy="3385200"/>
                                      </a:xfrm>
                                    </wpg:grpSpPr>
                                    <wps:wsp>
                                      <wps:cNvPr id="1578060519" name="Rectangle 1578060519"/>
                                      <wps:cNvSpPr/>
                                      <wps:spPr>
                                        <a:xfrm>
                                          <a:off x="678750" y="2087400"/>
                                          <a:ext cx="9334500" cy="3385200"/>
                                        </a:xfrm>
                                        <a:prstGeom prst="rect">
                                          <a:avLst/>
                                        </a:prstGeom>
                                        <a:noFill/>
                                        <a:ln>
                                          <a:noFill/>
                                        </a:ln>
                                      </wps:spPr>
                                      <wps:txbx>
                                        <w:txbxContent>
                                          <w:p w14:paraId="72896C86"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467913131" name="Group 1467913131"/>
                                      <wpg:cNvGrpSpPr/>
                                      <wpg:grpSpPr>
                                        <a:xfrm>
                                          <a:off x="678750" y="2087408"/>
                                          <a:ext cx="9334500" cy="3385185"/>
                                          <a:chOff x="678750" y="2087400"/>
                                          <a:chExt cx="9334500" cy="3385200"/>
                                        </a:xfrm>
                                      </wpg:grpSpPr>
                                      <wps:wsp>
                                        <wps:cNvPr id="190133824" name="Rectangle 190133824"/>
                                        <wps:cNvSpPr/>
                                        <wps:spPr>
                                          <a:xfrm>
                                            <a:off x="678750" y="2087400"/>
                                            <a:ext cx="9334500" cy="3385200"/>
                                          </a:xfrm>
                                          <a:prstGeom prst="rect">
                                            <a:avLst/>
                                          </a:prstGeom>
                                          <a:noFill/>
                                          <a:ln>
                                            <a:noFill/>
                                          </a:ln>
                                        </wps:spPr>
                                        <wps:txbx>
                                          <w:txbxContent>
                                            <w:p w14:paraId="51CA8DF1"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379073563" name="Group 379073563"/>
                                        <wpg:cNvGrpSpPr/>
                                        <wpg:grpSpPr>
                                          <a:xfrm>
                                            <a:off x="678750" y="2087408"/>
                                            <a:ext cx="9334500" cy="3385185"/>
                                            <a:chOff x="678750" y="2087400"/>
                                            <a:chExt cx="9334500" cy="3385200"/>
                                          </a:xfrm>
                                        </wpg:grpSpPr>
                                        <wps:wsp>
                                          <wps:cNvPr id="1478423711" name="Rectangle 1478423711"/>
                                          <wps:cNvSpPr/>
                                          <wps:spPr>
                                            <a:xfrm>
                                              <a:off x="678750" y="2087400"/>
                                              <a:ext cx="9334500" cy="3385200"/>
                                            </a:xfrm>
                                            <a:prstGeom prst="rect">
                                              <a:avLst/>
                                            </a:prstGeom>
                                            <a:noFill/>
                                            <a:ln>
                                              <a:noFill/>
                                            </a:ln>
                                          </wps:spPr>
                                          <wps:txbx>
                                            <w:txbxContent>
                                              <w:p w14:paraId="37A287A1"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351922566" name="Group 1351922566"/>
                                          <wpg:cNvGrpSpPr/>
                                          <wpg:grpSpPr>
                                            <a:xfrm>
                                              <a:off x="678750" y="2087408"/>
                                              <a:ext cx="9334500" cy="3385185"/>
                                              <a:chOff x="678750" y="2087400"/>
                                              <a:chExt cx="9334500" cy="3385200"/>
                                            </a:xfrm>
                                          </wpg:grpSpPr>
                                          <wps:wsp>
                                            <wps:cNvPr id="1310706171" name="Rectangle 1310706171"/>
                                            <wps:cNvSpPr/>
                                            <wps:spPr>
                                              <a:xfrm>
                                                <a:off x="678750" y="2087400"/>
                                                <a:ext cx="9334500" cy="3385200"/>
                                              </a:xfrm>
                                              <a:prstGeom prst="rect">
                                                <a:avLst/>
                                              </a:prstGeom>
                                              <a:noFill/>
                                              <a:ln>
                                                <a:noFill/>
                                              </a:ln>
                                            </wps:spPr>
                                            <wps:txbx>
                                              <w:txbxContent>
                                                <w:p w14:paraId="567E80A1"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790544379" name="Group 1790544379"/>
                                            <wpg:cNvGrpSpPr/>
                                            <wpg:grpSpPr>
                                              <a:xfrm>
                                                <a:off x="678750" y="2087408"/>
                                                <a:ext cx="9334500" cy="3385185"/>
                                                <a:chOff x="678750" y="2087400"/>
                                                <a:chExt cx="9334500" cy="3385200"/>
                                              </a:xfrm>
                                            </wpg:grpSpPr>
                                            <wps:wsp>
                                              <wps:cNvPr id="1423114457" name="Rectangle 1423114457"/>
                                              <wps:cNvSpPr/>
                                              <wps:spPr>
                                                <a:xfrm>
                                                  <a:off x="678750" y="2087400"/>
                                                  <a:ext cx="9334500" cy="3385200"/>
                                                </a:xfrm>
                                                <a:prstGeom prst="rect">
                                                  <a:avLst/>
                                                </a:prstGeom>
                                                <a:noFill/>
                                                <a:ln>
                                                  <a:noFill/>
                                                </a:ln>
                                              </wps:spPr>
                                              <wps:txbx>
                                                <w:txbxContent>
                                                  <w:p w14:paraId="46CC4845"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465327756" name="Group 465327756"/>
                                              <wpg:cNvGrpSpPr/>
                                              <wpg:grpSpPr>
                                                <a:xfrm>
                                                  <a:off x="678750" y="2087408"/>
                                                  <a:ext cx="9334500" cy="3385185"/>
                                                  <a:chOff x="678750" y="2087400"/>
                                                  <a:chExt cx="9334500" cy="3385200"/>
                                                </a:xfrm>
                                              </wpg:grpSpPr>
                                              <wps:wsp>
                                                <wps:cNvPr id="2028558131" name="Rectangle 2028558131"/>
                                                <wps:cNvSpPr/>
                                                <wps:spPr>
                                                  <a:xfrm>
                                                    <a:off x="678750" y="2087400"/>
                                                    <a:ext cx="9334500" cy="3385200"/>
                                                  </a:xfrm>
                                                  <a:prstGeom prst="rect">
                                                    <a:avLst/>
                                                  </a:prstGeom>
                                                  <a:noFill/>
                                                  <a:ln>
                                                    <a:noFill/>
                                                  </a:ln>
                                                </wps:spPr>
                                                <wps:txbx>
                                                  <w:txbxContent>
                                                    <w:p w14:paraId="008B2D83"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698118520" name="Group 1698118520"/>
                                                <wpg:cNvGrpSpPr/>
                                                <wpg:grpSpPr>
                                                  <a:xfrm>
                                                    <a:off x="678750" y="2087408"/>
                                                    <a:ext cx="9334500" cy="3385185"/>
                                                    <a:chOff x="678750" y="2087400"/>
                                                    <a:chExt cx="9334500" cy="3385200"/>
                                                  </a:xfrm>
                                                </wpg:grpSpPr>
                                                <wps:wsp>
                                                  <wps:cNvPr id="21514285" name="Rectangle 21514285"/>
                                                  <wps:cNvSpPr/>
                                                  <wps:spPr>
                                                    <a:xfrm>
                                                      <a:off x="678750" y="2087400"/>
                                                      <a:ext cx="9334500" cy="3385200"/>
                                                    </a:xfrm>
                                                    <a:prstGeom prst="rect">
                                                      <a:avLst/>
                                                    </a:prstGeom>
                                                    <a:noFill/>
                                                    <a:ln>
                                                      <a:noFill/>
                                                    </a:ln>
                                                  </wps:spPr>
                                                  <wps:txbx>
                                                    <w:txbxContent>
                                                      <w:p w14:paraId="0410C6A9"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074867377" name="Group 1074867377"/>
                                                  <wpg:cNvGrpSpPr/>
                                                  <wpg:grpSpPr>
                                                    <a:xfrm>
                                                      <a:off x="678750" y="2087408"/>
                                                      <a:ext cx="9334500" cy="3385185"/>
                                                      <a:chOff x="678750" y="2087400"/>
                                                      <a:chExt cx="9334500" cy="3385200"/>
                                                    </a:xfrm>
                                                  </wpg:grpSpPr>
                                                  <wps:wsp>
                                                    <wps:cNvPr id="1515035968" name="Rectangle 1515035968"/>
                                                    <wps:cNvSpPr/>
                                                    <wps:spPr>
                                                      <a:xfrm>
                                                        <a:off x="678750" y="2087400"/>
                                                        <a:ext cx="9334500" cy="3385200"/>
                                                      </a:xfrm>
                                                      <a:prstGeom prst="rect">
                                                        <a:avLst/>
                                                      </a:prstGeom>
                                                      <a:noFill/>
                                                      <a:ln>
                                                        <a:noFill/>
                                                      </a:ln>
                                                    </wps:spPr>
                                                    <wps:txbx>
                                                      <w:txbxContent>
                                                        <w:p w14:paraId="6C248AB2"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184960365" name="Group 1184960365"/>
                                                    <wpg:cNvGrpSpPr/>
                                                    <wpg:grpSpPr>
                                                      <a:xfrm>
                                                        <a:off x="678750" y="2087408"/>
                                                        <a:ext cx="9334500" cy="3385185"/>
                                                        <a:chOff x="678750" y="2087400"/>
                                                        <a:chExt cx="9334500" cy="3385200"/>
                                                      </a:xfrm>
                                                    </wpg:grpSpPr>
                                                    <wps:wsp>
                                                      <wps:cNvPr id="875116393" name="Rectangle 875116393"/>
                                                      <wps:cNvSpPr/>
                                                      <wps:spPr>
                                                        <a:xfrm>
                                                          <a:off x="678750" y="2087400"/>
                                                          <a:ext cx="9334500" cy="3385200"/>
                                                        </a:xfrm>
                                                        <a:prstGeom prst="rect">
                                                          <a:avLst/>
                                                        </a:prstGeom>
                                                        <a:noFill/>
                                                        <a:ln>
                                                          <a:noFill/>
                                                        </a:ln>
                                                      </wps:spPr>
                                                      <wps:txbx>
                                                        <w:txbxContent>
                                                          <w:p w14:paraId="331F7E80"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cNvPr id="15326782" name="Group 15326782"/>
                                                      <wpg:cNvGrpSpPr/>
                                                      <wpg:grpSpPr>
                                                        <a:xfrm rot="10800000">
                                                          <a:off x="678750" y="2087408"/>
                                                          <a:ext cx="9334500" cy="3385185"/>
                                                          <a:chOff x="-7144" y="-7144"/>
                                                          <a:chExt cx="6005513" cy="1924050"/>
                                                        </a:xfrm>
                                                      </wpg:grpSpPr>
                                                      <wps:wsp>
                                                        <wps:cNvPr id="1337535898" name="Rectangle 1337535898"/>
                                                        <wps:cNvSpPr/>
                                                        <wps:spPr>
                                                          <a:xfrm>
                                                            <a:off x="-7144" y="-7144"/>
                                                            <a:ext cx="6005500" cy="1924050"/>
                                                          </a:xfrm>
                                                          <a:prstGeom prst="rect">
                                                            <a:avLst/>
                                                          </a:prstGeom>
                                                          <a:noFill/>
                                                          <a:ln>
                                                            <a:noFill/>
                                                          </a:ln>
                                                        </wps:spPr>
                                                        <wps:txbx>
                                                          <w:txbxContent>
                                                            <w:p w14:paraId="1DE04371"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s:wsp>
                                                        <wps:cNvPr id="1254289189" name="Freeform 1254289189"/>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6153C0FE"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s:wsp>
                                                        <wps:cNvPr id="1362701537" name="Freeform 1362701537"/>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0F76D68A"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s:wsp>
                                                        <wps:cNvPr id="839601324" name="Freeform 839601324"/>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774F3A50"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s:wsp>
                                                        <wps:cNvPr id="862994655" name="Freeform 862994655"/>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7163407" w14:textId="77777777" w:rsidR="00BF61E2" w:rsidRDefault="00BF61E2">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grpSp>
                                      </wpg:grpSp>
                                    </wpg:grpSp>
                                  </wpg:grpSp>
                                </wpg:grpSp>
                              </wpg:grpSp>
                            </wpg:grp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-2006591</wp:posOffset>
              </wp:positionH>
              <wp:positionV relativeFrom="paragraph">
                <wp:posOffset>-241293</wp:posOffset>
              </wp:positionV>
              <wp:extent cx="9334500" cy="3385185"/>
              <wp:effectExtent b="0" l="0" r="0" t="0"/>
              <wp:wrapNone/>
              <wp:docPr id="190398659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3F464EFC" w14:textId="77777777" w:rsidR="00BF61E2" w:rsidRDefault="00000000">
    <w:r>
      <w:rPr>
        <w:noProof/>
      </w:rPr>
      <w:drawing>
        <wp:anchor distT="0" distB="0" distL="114300" distR="114300" simplePos="0" relativeHeight="251660288" behindDoc="0" locked="0" layoutInCell="1" hidden="0" allowOverlap="1" wp14:anchorId="67D756E5" wp14:editId="4B2D6EA6">
          <wp:simplePos x="0" y="0"/>
          <wp:positionH relativeFrom="column">
            <wp:posOffset>3164840</wp:posOffset>
          </wp:positionH>
          <wp:positionV relativeFrom="paragraph">
            <wp:posOffset>26669</wp:posOffset>
          </wp:positionV>
          <wp:extent cx="3515995" cy="895985"/>
          <wp:effectExtent l="0" t="0" r="0" b="0"/>
          <wp:wrapNone/>
          <wp:docPr id="1903986595"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AA268" w14:textId="77777777" w:rsidR="002003EE" w:rsidRDefault="002003EE">
      <w:pPr>
        <w:spacing w:after="0" w:line="240" w:lineRule="auto"/>
      </w:pPr>
      <w:r>
        <w:separator/>
      </w:r>
    </w:p>
  </w:footnote>
  <w:footnote w:type="continuationSeparator" w:id="0">
    <w:p w14:paraId="6E848BAF" w14:textId="77777777" w:rsidR="002003EE" w:rsidRDefault="002003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60B3" w14:textId="77777777" w:rsidR="00BF61E2" w:rsidRDefault="00BF61E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E78A6" w14:textId="77777777" w:rsidR="00BF61E2" w:rsidRDefault="00BF61E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A41C1"/>
    <w:multiLevelType w:val="multilevel"/>
    <w:tmpl w:val="930EE5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F2955C7"/>
    <w:multiLevelType w:val="multilevel"/>
    <w:tmpl w:val="1568B0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9367A1"/>
    <w:multiLevelType w:val="multilevel"/>
    <w:tmpl w:val="B614C1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DAC759D"/>
    <w:multiLevelType w:val="multilevel"/>
    <w:tmpl w:val="8DB61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E142396"/>
    <w:multiLevelType w:val="multilevel"/>
    <w:tmpl w:val="F3E432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7227AC6"/>
    <w:multiLevelType w:val="multilevel"/>
    <w:tmpl w:val="C5B421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2703EE0"/>
    <w:multiLevelType w:val="multilevel"/>
    <w:tmpl w:val="D5AA6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2AB04E3"/>
    <w:multiLevelType w:val="multilevel"/>
    <w:tmpl w:val="65F015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5140CBD"/>
    <w:multiLevelType w:val="multilevel"/>
    <w:tmpl w:val="AD1A70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6790318"/>
    <w:multiLevelType w:val="multilevel"/>
    <w:tmpl w:val="DE82E1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9BB0C83"/>
    <w:multiLevelType w:val="multilevel"/>
    <w:tmpl w:val="42725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A5F0A3C"/>
    <w:multiLevelType w:val="multilevel"/>
    <w:tmpl w:val="BEF2FB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FA83E84"/>
    <w:multiLevelType w:val="multilevel"/>
    <w:tmpl w:val="10EEB9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0D162C2"/>
    <w:multiLevelType w:val="multilevel"/>
    <w:tmpl w:val="FC027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1D53DDF"/>
    <w:multiLevelType w:val="multilevel"/>
    <w:tmpl w:val="A0E63E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2A8684F"/>
    <w:multiLevelType w:val="multilevel"/>
    <w:tmpl w:val="F22E98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921420B"/>
    <w:multiLevelType w:val="multilevel"/>
    <w:tmpl w:val="C008A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B824B35"/>
    <w:multiLevelType w:val="multilevel"/>
    <w:tmpl w:val="F31615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C0A4655"/>
    <w:multiLevelType w:val="multilevel"/>
    <w:tmpl w:val="C316AF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08A698C"/>
    <w:multiLevelType w:val="multilevel"/>
    <w:tmpl w:val="002016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39E732F"/>
    <w:multiLevelType w:val="multilevel"/>
    <w:tmpl w:val="247AE7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C886E2B"/>
    <w:multiLevelType w:val="multilevel"/>
    <w:tmpl w:val="6470AC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62335466">
    <w:abstractNumId w:val="10"/>
  </w:num>
  <w:num w:numId="2" w16cid:durableId="1163860674">
    <w:abstractNumId w:val="17"/>
  </w:num>
  <w:num w:numId="3" w16cid:durableId="15888006">
    <w:abstractNumId w:val="18"/>
  </w:num>
  <w:num w:numId="4" w16cid:durableId="443690566">
    <w:abstractNumId w:val="6"/>
  </w:num>
  <w:num w:numId="5" w16cid:durableId="1894998418">
    <w:abstractNumId w:val="13"/>
  </w:num>
  <w:num w:numId="6" w16cid:durableId="707993544">
    <w:abstractNumId w:val="7"/>
  </w:num>
  <w:num w:numId="7" w16cid:durableId="519394800">
    <w:abstractNumId w:val="21"/>
  </w:num>
  <w:num w:numId="8" w16cid:durableId="770509489">
    <w:abstractNumId w:val="4"/>
  </w:num>
  <w:num w:numId="9" w16cid:durableId="324818404">
    <w:abstractNumId w:val="5"/>
  </w:num>
  <w:num w:numId="10" w16cid:durableId="605889705">
    <w:abstractNumId w:val="19"/>
  </w:num>
  <w:num w:numId="11" w16cid:durableId="336077445">
    <w:abstractNumId w:val="1"/>
  </w:num>
  <w:num w:numId="12" w16cid:durableId="369259190">
    <w:abstractNumId w:val="8"/>
  </w:num>
  <w:num w:numId="13" w16cid:durableId="935137359">
    <w:abstractNumId w:val="15"/>
  </w:num>
  <w:num w:numId="14" w16cid:durableId="817381330">
    <w:abstractNumId w:val="2"/>
  </w:num>
  <w:num w:numId="15" w16cid:durableId="2002387365">
    <w:abstractNumId w:val="14"/>
  </w:num>
  <w:num w:numId="16" w16cid:durableId="1680959558">
    <w:abstractNumId w:val="11"/>
  </w:num>
  <w:num w:numId="17" w16cid:durableId="2047410355">
    <w:abstractNumId w:val="0"/>
  </w:num>
  <w:num w:numId="18" w16cid:durableId="551891084">
    <w:abstractNumId w:val="20"/>
  </w:num>
  <w:num w:numId="19" w16cid:durableId="860508107">
    <w:abstractNumId w:val="16"/>
  </w:num>
  <w:num w:numId="20" w16cid:durableId="362901008">
    <w:abstractNumId w:val="12"/>
  </w:num>
  <w:num w:numId="21" w16cid:durableId="753287001">
    <w:abstractNumId w:val="9"/>
  </w:num>
  <w:num w:numId="22" w16cid:durableId="17862731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21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61E2"/>
    <w:rsid w:val="002003EE"/>
    <w:rsid w:val="0049265A"/>
    <w:rsid w:val="009D3C72"/>
    <w:rsid w:val="00AF0818"/>
    <w:rsid w:val="00BF61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6E51621"/>
  <w15:docId w15:val="{F467E9A0-E5BA-144C-816E-0926BA318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spacing w:after="0"/>
      <w:outlineLvl w:val="2"/>
    </w:pPr>
    <w:rPr>
      <w:rFonts w:ascii="Lato" w:eastAsia="Lato" w:hAnsi="Lato" w:cs="Lato"/>
      <w:color w:val="006A78"/>
      <w:sz w:val="28"/>
      <w:szCs w:val="28"/>
    </w:rPr>
  </w:style>
  <w:style w:type="paragraph" w:styleId="Heading4">
    <w:name w:val="heading 4"/>
    <w:basedOn w:val="Normal"/>
    <w:next w:val="Normal"/>
    <w:link w:val="Heading4Char"/>
    <w:uiPriority w:val="9"/>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361" w:hanging="361"/>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060"/>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Normal"/>
    <w:tblPr>
      <w:tblCellMar>
        <w:top w:w="0" w:type="dxa"/>
        <w:left w:w="0" w:type="dxa"/>
        <w:bottom w:w="0" w:type="dxa"/>
        <w:right w:w="0" w:type="dxa"/>
      </w:tblCellMar>
    </w:tblPr>
  </w:style>
  <w:style w:type="table" w:customStyle="1" w:styleId="TableNormal6">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fr-CA"/>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fr-CA"/>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fr-CA"/>
    </w:rPr>
  </w:style>
  <w:style w:type="paragraph" w:styleId="ListParagraph">
    <w:name w:val="List Paragraph"/>
    <w:basedOn w:val="Normal"/>
    <w:uiPriority w:val="34"/>
    <w:rsid w:val="0084591A"/>
    <w:pPr>
      <w:ind w:left="720"/>
      <w:contextualSpacing/>
    </w:p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rsid w:val="0081034D"/>
    <w:rPr>
      <w:sz w:val="22"/>
      <w:szCs w:val="22"/>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rsid w:val="00BF6CD5"/>
    <w:pPr>
      <w:spacing w:before="480" w:after="0"/>
      <w:outlineLvl w:val="9"/>
    </w:pPr>
    <w:rPr>
      <w:rFonts w:asciiTheme="majorHAnsi" w:eastAsiaTheme="majorEastAsia" w:hAnsiTheme="majorHAnsi" w:cstheme="majorBidi"/>
      <w:color w:val="2F5496" w:themeColor="accent1" w:themeShade="BF"/>
      <w:szCs w:val="28"/>
    </w:rPr>
  </w:style>
  <w:style w:type="paragraph" w:styleId="TOC1">
    <w:name w:val="toc 1"/>
    <w:basedOn w:val="Normal"/>
    <w:next w:val="Normal"/>
    <w:autoRedefine/>
    <w:uiPriority w:val="39"/>
    <w:unhideWhenUsed/>
    <w:rsid w:val="00C94299"/>
    <w:pPr>
      <w:tabs>
        <w:tab w:val="right" w:leader="dot" w:pos="10070"/>
      </w:tabs>
      <w:spacing w:before="120" w:after="0"/>
    </w:pPr>
    <w:rPr>
      <w:rFonts w:cstheme="minorHAnsi"/>
      <w:b/>
      <w:bCs/>
      <w:noProof/>
    </w:rPr>
  </w:style>
  <w:style w:type="paragraph" w:styleId="TOC2">
    <w:name w:val="toc 2"/>
    <w:basedOn w:val="Normal"/>
    <w:next w:val="Normal"/>
    <w:autoRedefine/>
    <w:uiPriority w:val="39"/>
    <w:unhideWhenUsed/>
    <w:rsid w:val="00CB7D61"/>
    <w:pPr>
      <w:spacing w:before="120" w:after="0"/>
      <w:ind w:left="220"/>
    </w:pPr>
    <w:rPr>
      <w:rFonts w:cstheme="minorHAnsi"/>
      <w:bCs/>
      <w:sz w:val="22"/>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customStyle="1" w:styleId="UnresolvedMention1">
    <w:name w:val="Unresolved Mention1"/>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odyText">
    <w:name w:val="Body Text"/>
    <w:basedOn w:val="Normal"/>
    <w:link w:val="BodyTextChar"/>
    <w:uiPriority w:val="1"/>
    <w:qFormat/>
    <w:rsid w:val="00707EB3"/>
    <w:pPr>
      <w:widowControl w:val="0"/>
      <w:spacing w:after="0" w:line="240" w:lineRule="auto"/>
      <w:ind w:left="840" w:hanging="360"/>
    </w:pPr>
    <w:rPr>
      <w:rFonts w:ascii="Calibri" w:eastAsia="Calibri" w:hAnsi="Calibri"/>
      <w:sz w:val="22"/>
    </w:rPr>
  </w:style>
  <w:style w:type="character" w:customStyle="1" w:styleId="BodyTextChar">
    <w:name w:val="Body Text Char"/>
    <w:basedOn w:val="DefaultParagraphFont"/>
    <w:link w:val="BodyText"/>
    <w:uiPriority w:val="1"/>
    <w:rsid w:val="00707EB3"/>
    <w:rPr>
      <w:rFonts w:ascii="Calibri" w:eastAsia="Calibri" w:hAnsi="Calibri"/>
      <w:kern w:val="0"/>
      <w:sz w:val="22"/>
      <w:szCs w:val="22"/>
      <w:lang w:val="fr-CA"/>
    </w:rPr>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unhideWhenUsed/>
    <w:rsid w:val="00764B82"/>
    <w:pPr>
      <w:spacing w:before="100" w:beforeAutospacing="1" w:after="100" w:afterAutospacing="1" w:line="240" w:lineRule="auto"/>
    </w:pPr>
    <w:rPr>
      <w:rFonts w:ascii="Times New Roman" w:eastAsia="Times New Roman" w:hAnsi="Times New Roman" w:cs="Times New Roman"/>
    </w:rPr>
  </w:style>
  <w:style w:type="paragraph" w:styleId="Quote">
    <w:name w:val="Quote"/>
    <w:aliases w:val="Title Page (2)"/>
    <w:basedOn w:val="Title"/>
    <w:next w:val="Normal"/>
    <w:link w:val="QuoteChar"/>
    <w:uiPriority w:val="29"/>
    <w:qFormat/>
    <w:rsid w:val="00153B21"/>
    <w:pPr>
      <w:spacing w:line="480" w:lineRule="auto"/>
    </w:pPr>
    <w:rPr>
      <w:color w:val="00274A"/>
    </w:rPr>
  </w:style>
  <w:style w:type="character" w:customStyle="1" w:styleId="QuoteChar">
    <w:name w:val="Quote Char"/>
    <w:aliases w:val="Title Page (2) Char"/>
    <w:basedOn w:val="DefaultParagraphFont"/>
    <w:link w:val="Quote"/>
    <w:uiPriority w:val="29"/>
    <w:rsid w:val="00153B21"/>
    <w:rPr>
      <w:rFonts w:ascii="Lato" w:eastAsiaTheme="majorEastAsia" w:hAnsi="Lato" w:cstheme="majorBidi"/>
      <w:b/>
      <w:color w:val="00274A"/>
      <w:spacing w:val="-10"/>
      <w:kern w:val="28"/>
      <w:sz w:val="44"/>
      <w:szCs w:val="56"/>
      <w:lang w:val="fr-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DE3903"/>
    <w:rPr>
      <w:rFonts w:ascii="Arial" w:hAnsi="Arial"/>
      <w:kern w:val="0"/>
      <w:szCs w:val="22"/>
    </w:rPr>
  </w:style>
  <w:style w:type="character" w:styleId="IntenseEmphasis">
    <w:name w:val="Intense Emphasis"/>
    <w:uiPriority w:val="21"/>
    <w:rsid w:val="00DE3903"/>
  </w:style>
  <w:style w:type="paragraph" w:styleId="IntenseQuote">
    <w:name w:val="Intense Quote"/>
    <w:aliases w:val="Numbered bullet points"/>
    <w:basedOn w:val="ListParagraph"/>
    <w:next w:val="Normal"/>
    <w:link w:val="IntenseQuoteChar"/>
    <w:uiPriority w:val="30"/>
    <w:qFormat/>
    <w:rsid w:val="00DE3903"/>
    <w:pPr>
      <w:tabs>
        <w:tab w:val="num" w:pos="720"/>
      </w:tabs>
      <w:spacing w:before="600"/>
      <w:ind w:left="357" w:hanging="357"/>
    </w:pPr>
  </w:style>
  <w:style w:type="character" w:customStyle="1" w:styleId="IntenseQuoteChar">
    <w:name w:val="Intense Quote Char"/>
    <w:aliases w:val="Numbered bullet points Char"/>
    <w:basedOn w:val="DefaultParagraphFont"/>
    <w:link w:val="IntenseQuote"/>
    <w:uiPriority w:val="30"/>
    <w:rsid w:val="00DE3903"/>
    <w:rPr>
      <w:szCs w:val="22"/>
    </w:rPr>
  </w:style>
  <w:style w:type="table" w:customStyle="1" w:styleId="3">
    <w:name w:val="3"/>
    <w:basedOn w:val="TableNormal"/>
    <w:rPr>
      <w:sz w:val="22"/>
      <w:szCs w:val="22"/>
    </w:rPr>
    <w:tblPr>
      <w:tblStyleRowBandSize w:val="1"/>
      <w:tblStyleColBandSize w:val="1"/>
    </w:tblPr>
  </w:style>
  <w:style w:type="table" w:customStyle="1" w:styleId="2">
    <w:name w:val="2"/>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sid w:val="007E57C4"/>
    <w:rPr>
      <w:sz w:val="16"/>
      <w:szCs w:val="16"/>
    </w:rPr>
  </w:style>
  <w:style w:type="paragraph" w:styleId="CommentText">
    <w:name w:val="annotation text"/>
    <w:basedOn w:val="Normal"/>
    <w:link w:val="CommentTextChar"/>
    <w:uiPriority w:val="99"/>
    <w:semiHidden/>
    <w:unhideWhenUsed/>
    <w:rsid w:val="007E57C4"/>
    <w:pPr>
      <w:spacing w:line="240" w:lineRule="auto"/>
    </w:pPr>
    <w:rPr>
      <w:sz w:val="20"/>
      <w:szCs w:val="20"/>
    </w:rPr>
  </w:style>
  <w:style w:type="character" w:customStyle="1" w:styleId="CommentTextChar">
    <w:name w:val="Comment Text Char"/>
    <w:basedOn w:val="DefaultParagraphFont"/>
    <w:link w:val="CommentText"/>
    <w:uiPriority w:val="99"/>
    <w:semiHidden/>
    <w:rsid w:val="007E57C4"/>
    <w:rPr>
      <w:sz w:val="20"/>
      <w:szCs w:val="20"/>
    </w:rPr>
  </w:style>
  <w:style w:type="paragraph" w:styleId="CommentSubject">
    <w:name w:val="annotation subject"/>
    <w:basedOn w:val="CommentText"/>
    <w:next w:val="CommentText"/>
    <w:link w:val="CommentSubjectChar"/>
    <w:uiPriority w:val="99"/>
    <w:semiHidden/>
    <w:unhideWhenUsed/>
    <w:rsid w:val="007E57C4"/>
    <w:rPr>
      <w:b/>
      <w:bCs/>
    </w:rPr>
  </w:style>
  <w:style w:type="character" w:customStyle="1" w:styleId="CommentSubjectChar">
    <w:name w:val="Comment Subject Char"/>
    <w:basedOn w:val="CommentTextChar"/>
    <w:link w:val="CommentSubject"/>
    <w:uiPriority w:val="99"/>
    <w:semiHidden/>
    <w:rsid w:val="007E57C4"/>
    <w:rPr>
      <w:b/>
      <w:bCs/>
      <w:sz w:val="20"/>
      <w:szCs w:val="20"/>
    </w:rPr>
  </w:style>
  <w:style w:type="paragraph" w:styleId="Revision">
    <w:name w:val="Revision"/>
    <w:hidden/>
    <w:uiPriority w:val="99"/>
    <w:semiHidden/>
    <w:rsid w:val="007E57C4"/>
    <w:pPr>
      <w:spacing w:after="0" w:line="240" w:lineRule="auto"/>
    </w:pPr>
    <w:rPr>
      <w:szCs w:val="22"/>
    </w:rPr>
  </w:style>
  <w:style w:type="table" w:customStyle="1" w:styleId="1">
    <w:name w:val="1"/>
    <w:basedOn w:val="TableNormal"/>
    <w:rPr>
      <w:sz w:val="22"/>
      <w:szCs w:val="22"/>
    </w:rPr>
    <w:tblPr>
      <w:tblStyleRowBandSize w:val="1"/>
      <w:tblStyleColBandSize w:val="1"/>
    </w:tblPr>
  </w:style>
  <w:style w:type="paragraph" w:styleId="BalloonText">
    <w:name w:val="Balloon Text"/>
    <w:basedOn w:val="Normal"/>
    <w:link w:val="BalloonTextChar"/>
    <w:uiPriority w:val="99"/>
    <w:semiHidden/>
    <w:unhideWhenUsed/>
    <w:rsid w:val="00CD7F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7F0B"/>
    <w:rPr>
      <w:rFonts w:ascii="Segoe UI" w:hAnsi="Segoe UI" w:cs="Segoe UI"/>
      <w:sz w:val="18"/>
      <w:szCs w:val="18"/>
    </w:rPr>
  </w:style>
  <w:style w:type="table" w:customStyle="1" w:styleId="a">
    <w:basedOn w:val="TableNormal"/>
    <w:rPr>
      <w:sz w:val="22"/>
      <w:szCs w:val="22"/>
    </w:rPr>
    <w:tblPr>
      <w:tblStyleRowBandSize w:val="1"/>
      <w:tblStyleColBandSize w:val="1"/>
    </w:tblPr>
  </w:style>
  <w:style w:type="table" w:customStyle="1" w:styleId="a0">
    <w:basedOn w:val="TableNormal"/>
    <w:rPr>
      <w:sz w:val="22"/>
      <w:szCs w:val="22"/>
    </w:rPr>
    <w:tblPr>
      <w:tblStyleRowBandSize w:val="1"/>
      <w:tblStyleColBandSize w:val="1"/>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character" w:customStyle="1" w:styleId="apple-tab-span">
    <w:name w:val="apple-tab-span"/>
    <w:basedOn w:val="DefaultParagraphFont"/>
    <w:rsid w:val="001E7266"/>
  </w:style>
  <w:style w:type="character" w:styleId="UnresolvedMention">
    <w:name w:val="Unresolved Mention"/>
    <w:basedOn w:val="DefaultParagraphFont"/>
    <w:uiPriority w:val="99"/>
    <w:semiHidden/>
    <w:unhideWhenUsed/>
    <w:rsid w:val="00421250"/>
    <w:rPr>
      <w:color w:val="605E5C"/>
      <w:shd w:val="clear" w:color="auto" w:fill="E1DFDD"/>
    </w:r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pp.cyberimpact.com/newsletter-view-online?ct=c3BXsW4hhFyuGoTweugsdUlseSY44dpTMSjVZ4cFhnq0axuISQvPIuBahJazbfyxfGrhAqBv7PPeFgwBXtWihQ~~"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linkedin.com/company/hdrnrrds/posts/?feedView=al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drn.ca/fr/news/le-conseil-consultatif-public-lance-un-glossaire-des-donnees-de-sante-en-langage-clai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youtube.com/playlist?list=PL6iM14R_AMRWnCI_MzLU__WxuYvj4zXa3"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youtube.com/watch?v=cNu5czXznEY" TargetMode="External"/><Relationship Id="rId14" Type="http://schemas.openxmlformats.org/officeDocument/2006/relationships/hyperlink" Target="https://app.cyberimpact.com/newsletter-view-online?ct=RNtddo5ctQ24ELyjrwTpfvF-W9Z_3r-FEQsljHLCV5wgF0OCjTDbYe--D4tmeUya6yxQSw_TzUwMNmM7UH91Nw~~"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l8TzaB2VQ7BcESWnudrgZJWmCQ==">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3823</Words>
  <Characters>20465</Characters>
  <Application>Microsoft Office Word</Application>
  <DocSecurity>2</DocSecurity>
  <Lines>349</Lines>
  <Paragraphs>132</Paragraphs>
  <ScaleCrop>false</ScaleCrop>
  <Company/>
  <LinksUpToDate>false</LinksUpToDate>
  <CharactersWithSpaces>24179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marjorie henderson</cp:lastModifiedBy>
  <cp:revision>3</cp:revision>
  <dcterms:created xsi:type="dcterms:W3CDTF">2026-01-09T00:37:00Z</dcterms:created>
  <dcterms:modified xsi:type="dcterms:W3CDTF">2026-01-09T00:37:00Z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0x010100B436A9A10C39AF4B8595858AF44D528A</vt:lpwstr>
  </property>
</Properties>
</file>