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81FA13" w14:textId="77777777" w:rsidR="009F2F26" w:rsidRDefault="00000000">
      <w:pPr>
        <w:pStyle w:val="Title"/>
        <w:rPr>
          <w:color w:val="00274A"/>
        </w:rPr>
      </w:pPr>
      <w:r>
        <w:rPr>
          <w:color w:val="00274A"/>
        </w:rPr>
        <w:t>RRDS Canada</w:t>
      </w:r>
    </w:p>
    <w:p w14:paraId="1A6379E1" w14:textId="77777777" w:rsidR="009F2F26" w:rsidRDefault="00000000">
      <w:pPr>
        <w:pStyle w:val="Subtitle"/>
        <w:spacing w:before="240"/>
      </w:pPr>
      <w:r>
        <w:rPr>
          <w:sz w:val="56"/>
          <w:szCs w:val="56"/>
        </w:rPr>
        <w:t>Rapport de la directrice générale et directrice scientifique</w:t>
      </w:r>
    </w:p>
    <w:p w14:paraId="75477172" w14:textId="77777777" w:rsidR="009F2F26" w:rsidRDefault="00000000">
      <w:pPr>
        <w:pBdr>
          <w:top w:val="nil"/>
          <w:left w:val="nil"/>
          <w:bottom w:val="nil"/>
          <w:right w:val="nil"/>
          <w:between w:val="nil"/>
        </w:pBdr>
        <w:spacing w:after="0" w:line="480" w:lineRule="auto"/>
        <w:rPr>
          <w:rFonts w:ascii="Lato" w:eastAsia="Lato" w:hAnsi="Lato" w:cs="Lato"/>
          <w:b/>
          <w:bCs/>
          <w:color w:val="00274A"/>
          <w:sz w:val="44"/>
          <w:szCs w:val="44"/>
        </w:rPr>
      </w:pPr>
      <w:r>
        <w:rPr>
          <w:rFonts w:ascii="Lato" w:eastAsia="Lato" w:hAnsi="Lato" w:cs="Lato"/>
          <w:b/>
          <w:bCs/>
          <w:color w:val="00274A"/>
          <w:sz w:val="44"/>
          <w:szCs w:val="44"/>
        </w:rPr>
        <w:t>Le 20 août 2025</w:t>
      </w:r>
      <w:r>
        <w:br w:type="page"/>
      </w:r>
    </w:p>
    <w:p w14:paraId="50D811E8" w14:textId="77777777" w:rsidR="009F2F26" w:rsidRDefault="00000000">
      <w:pPr>
        <w:pStyle w:val="Title"/>
        <w:spacing w:line="360" w:lineRule="auto"/>
        <w:ind w:right="-180"/>
        <w:rPr>
          <w:rFonts w:ascii="Arial" w:eastAsia="Arial" w:hAnsi="Arial" w:cs="Arial"/>
          <w:color w:val="006A78"/>
          <w:sz w:val="36"/>
          <w:szCs w:val="36"/>
        </w:rPr>
      </w:pPr>
      <w:bookmarkStart w:id="0" w:name="_heading=h.bwckca5ti5fj" w:colFirst="0" w:colLast="0"/>
      <w:bookmarkEnd w:id="0"/>
      <w:r>
        <w:rPr>
          <w:color w:val="006A78"/>
          <w:sz w:val="36"/>
          <w:szCs w:val="36"/>
        </w:rPr>
        <w:lastRenderedPageBreak/>
        <w:t>Table des matières</w:t>
      </w:r>
    </w:p>
    <w:sdt>
      <w:sdtPr>
        <w:id w:val="-56072541"/>
        <w:docPartObj>
          <w:docPartGallery w:val="Table of Contents"/>
          <w:docPartUnique/>
        </w:docPartObj>
      </w:sdtPr>
      <w:sdtContent>
        <w:p w14:paraId="0C33D5EA" w14:textId="77777777" w:rsidR="009F2F26" w:rsidRDefault="00000000">
          <w:pPr>
            <w:pBdr>
              <w:top w:val="nil"/>
              <w:left w:val="nil"/>
              <w:bottom w:val="nil"/>
              <w:right w:val="nil"/>
              <w:between w:val="nil"/>
            </w:pBdr>
            <w:tabs>
              <w:tab w:val="right" w:pos="10070"/>
            </w:tabs>
            <w:spacing w:before="240" w:after="120" w:line="240" w:lineRule="auto"/>
            <w:rPr>
              <w:i/>
              <w:iCs/>
              <w:color w:val="000000"/>
              <w:sz w:val="22"/>
              <w:szCs w:val="22"/>
            </w:rPr>
          </w:pPr>
          <w:r>
            <w:fldChar w:fldCharType="begin"/>
          </w:r>
          <w:r>
            <w:instrText xml:space="preserve"> TOC \h \u \z \t "Heading 1,1,Heading 2,2,"</w:instrText>
          </w:r>
          <w:r>
            <w:fldChar w:fldCharType="separate"/>
          </w:r>
          <w:hyperlink w:anchor="_heading=h.9g72n0bk7kzg">
            <w:r>
              <w:rPr>
                <w:b/>
                <w:bCs/>
                <w:color w:val="000000"/>
                <w:sz w:val="22"/>
                <w:szCs w:val="22"/>
              </w:rPr>
              <w:t>Section 1 : Tableau de bord des indicateurs de performance organisationnelle</w:t>
            </w:r>
            <w:r>
              <w:rPr>
                <w:b/>
                <w:bCs/>
                <w:color w:val="000000"/>
                <w:sz w:val="22"/>
                <w:szCs w:val="22"/>
              </w:rPr>
              <w:tab/>
              <w:t>4</w:t>
            </w:r>
          </w:hyperlink>
        </w:p>
        <w:p w14:paraId="3BA22350" w14:textId="77777777" w:rsidR="009F2F26" w:rsidRDefault="00000000">
          <w:pPr>
            <w:pBdr>
              <w:top w:val="nil"/>
              <w:left w:val="nil"/>
              <w:bottom w:val="nil"/>
              <w:right w:val="nil"/>
              <w:between w:val="nil"/>
            </w:pBdr>
            <w:tabs>
              <w:tab w:val="right" w:pos="10070"/>
            </w:tabs>
            <w:spacing w:before="240" w:after="120" w:line="240" w:lineRule="auto"/>
            <w:rPr>
              <w:i/>
              <w:iCs/>
              <w:color w:val="000000"/>
              <w:sz w:val="22"/>
              <w:szCs w:val="22"/>
            </w:rPr>
          </w:pPr>
          <w:hyperlink w:anchor="_heading=h.o131sunyz8oz">
            <w:r>
              <w:rPr>
                <w:b/>
                <w:bCs/>
                <w:color w:val="000000"/>
                <w:sz w:val="22"/>
                <w:szCs w:val="22"/>
              </w:rPr>
              <w:t>Section 2 : Principales réalisations concernant les engagements stratégiques</w:t>
            </w:r>
            <w:r>
              <w:rPr>
                <w:b/>
                <w:bCs/>
                <w:color w:val="000000"/>
                <w:sz w:val="22"/>
                <w:szCs w:val="22"/>
              </w:rPr>
              <w:tab/>
              <w:t>4</w:t>
            </w:r>
          </w:hyperlink>
        </w:p>
        <w:p w14:paraId="56317B78" w14:textId="77777777" w:rsidR="009F2F26" w:rsidRDefault="00000000">
          <w:pPr>
            <w:pBdr>
              <w:top w:val="nil"/>
              <w:left w:val="nil"/>
              <w:bottom w:val="nil"/>
              <w:right w:val="nil"/>
              <w:between w:val="nil"/>
            </w:pBdr>
            <w:tabs>
              <w:tab w:val="right" w:pos="10070"/>
            </w:tabs>
            <w:spacing w:before="120" w:after="0" w:line="240" w:lineRule="auto"/>
            <w:ind w:left="240"/>
            <w:rPr>
              <w:color w:val="000000"/>
              <w:sz w:val="22"/>
              <w:szCs w:val="22"/>
            </w:rPr>
          </w:pPr>
          <w:hyperlink w:anchor="_heading=h.nb1kcfc7a5ao">
            <w:r>
              <w:rPr>
                <w:color w:val="000000"/>
                <w:sz w:val="22"/>
                <w:szCs w:val="22"/>
              </w:rPr>
              <w:t>Objectif 1 : Développer et améliorer les services et le soutien à l’accès aux données</w:t>
            </w:r>
            <w:r>
              <w:rPr>
                <w:color w:val="000000"/>
                <w:sz w:val="22"/>
                <w:szCs w:val="22"/>
              </w:rPr>
              <w:tab/>
              <w:t>4</w:t>
            </w:r>
          </w:hyperlink>
        </w:p>
        <w:p w14:paraId="435A8867" w14:textId="77777777" w:rsidR="009F2F26" w:rsidRDefault="00000000">
          <w:pPr>
            <w:pBdr>
              <w:top w:val="nil"/>
              <w:left w:val="nil"/>
              <w:bottom w:val="nil"/>
              <w:right w:val="nil"/>
              <w:between w:val="nil"/>
            </w:pBdr>
            <w:tabs>
              <w:tab w:val="right" w:pos="10070"/>
            </w:tabs>
            <w:spacing w:before="120" w:after="0" w:line="240" w:lineRule="auto"/>
            <w:ind w:left="240"/>
            <w:rPr>
              <w:color w:val="000000"/>
              <w:sz w:val="22"/>
              <w:szCs w:val="22"/>
            </w:rPr>
          </w:pPr>
          <w:hyperlink w:anchor="_heading=h.otr3rn4fr2bx">
            <w:r>
              <w:rPr>
                <w:color w:val="000000"/>
                <w:sz w:val="22"/>
                <w:szCs w:val="22"/>
              </w:rPr>
              <w:t>Objectif 2 : Diversifier et harmoniser les données, et soutenir une utilisation des données innovante et respectueuse de la vie privée</w:t>
            </w:r>
            <w:r>
              <w:rPr>
                <w:color w:val="000000"/>
                <w:sz w:val="22"/>
                <w:szCs w:val="22"/>
              </w:rPr>
              <w:tab/>
              <w:t>6</w:t>
            </w:r>
          </w:hyperlink>
        </w:p>
        <w:p w14:paraId="032FC125" w14:textId="77777777" w:rsidR="009F2F26" w:rsidRDefault="00000000">
          <w:pPr>
            <w:pBdr>
              <w:top w:val="nil"/>
              <w:left w:val="nil"/>
              <w:bottom w:val="nil"/>
              <w:right w:val="nil"/>
              <w:between w:val="nil"/>
            </w:pBdr>
            <w:tabs>
              <w:tab w:val="right" w:pos="10070"/>
            </w:tabs>
            <w:spacing w:before="120" w:after="0" w:line="240" w:lineRule="auto"/>
            <w:ind w:left="240"/>
            <w:rPr>
              <w:color w:val="000000"/>
              <w:sz w:val="22"/>
              <w:szCs w:val="22"/>
            </w:rPr>
          </w:pPr>
          <w:hyperlink w:anchor="_heading=h.8hhc3wxmswm5">
            <w:r>
              <w:rPr>
                <w:color w:val="000000"/>
                <w:sz w:val="22"/>
                <w:szCs w:val="22"/>
              </w:rPr>
              <w:t>Objectif 3 : Établir et renforcer les partenariats et faire preuve de leadership dans l’évolution des pratiques en matière de données</w:t>
            </w:r>
            <w:r>
              <w:rPr>
                <w:color w:val="000000"/>
                <w:sz w:val="22"/>
                <w:szCs w:val="22"/>
              </w:rPr>
              <w:tab/>
              <w:t>8</w:t>
            </w:r>
          </w:hyperlink>
        </w:p>
        <w:p w14:paraId="5A11673B" w14:textId="77777777" w:rsidR="009F2F26" w:rsidRDefault="00000000">
          <w:pPr>
            <w:pBdr>
              <w:top w:val="nil"/>
              <w:left w:val="nil"/>
              <w:bottom w:val="nil"/>
              <w:right w:val="nil"/>
              <w:between w:val="nil"/>
            </w:pBdr>
            <w:tabs>
              <w:tab w:val="right" w:pos="10070"/>
            </w:tabs>
            <w:spacing w:before="120" w:after="0" w:line="240" w:lineRule="auto"/>
            <w:ind w:left="240"/>
            <w:rPr>
              <w:color w:val="000000"/>
              <w:sz w:val="22"/>
              <w:szCs w:val="22"/>
            </w:rPr>
          </w:pPr>
          <w:hyperlink w:anchor="_heading=h.se25qo754yy7">
            <w:r>
              <w:rPr>
                <w:color w:val="000000"/>
                <w:sz w:val="22"/>
                <w:szCs w:val="22"/>
              </w:rPr>
              <w:t>Objectif 4 : Renforcer l’utilisation des données pour améliorer l’équité et soutenir la souveraineté des données dirigées par les peuples autochtones</w:t>
            </w:r>
            <w:r>
              <w:rPr>
                <w:color w:val="000000"/>
                <w:sz w:val="22"/>
                <w:szCs w:val="22"/>
              </w:rPr>
              <w:tab/>
              <w:t>11</w:t>
            </w:r>
          </w:hyperlink>
        </w:p>
        <w:p w14:paraId="68B22484" w14:textId="77777777" w:rsidR="009F2F26" w:rsidRDefault="00000000">
          <w:pPr>
            <w:pBdr>
              <w:top w:val="nil"/>
              <w:left w:val="nil"/>
              <w:bottom w:val="nil"/>
              <w:right w:val="nil"/>
              <w:between w:val="nil"/>
            </w:pBdr>
            <w:tabs>
              <w:tab w:val="right" w:pos="10070"/>
            </w:tabs>
            <w:spacing w:before="120" w:after="0" w:line="240" w:lineRule="auto"/>
            <w:ind w:left="240"/>
            <w:rPr>
              <w:color w:val="000000"/>
              <w:sz w:val="22"/>
              <w:szCs w:val="22"/>
            </w:rPr>
          </w:pPr>
          <w:hyperlink w:anchor="_heading=h.921wtdw5cc4a">
            <w:r>
              <w:rPr>
                <w:color w:val="000000"/>
                <w:sz w:val="22"/>
                <w:szCs w:val="22"/>
              </w:rPr>
              <w:t>Objectif 5 : Assurer une participation publique et communautaire intentionnelle et continue</w:t>
            </w:r>
            <w:r>
              <w:rPr>
                <w:color w:val="000000"/>
                <w:sz w:val="22"/>
                <w:szCs w:val="22"/>
              </w:rPr>
              <w:tab/>
              <w:t>12</w:t>
            </w:r>
          </w:hyperlink>
        </w:p>
        <w:p w14:paraId="152FC3E2" w14:textId="77777777" w:rsidR="009F2F26" w:rsidRDefault="00000000">
          <w:pPr>
            <w:pBdr>
              <w:top w:val="nil"/>
              <w:left w:val="nil"/>
              <w:bottom w:val="nil"/>
              <w:right w:val="nil"/>
              <w:between w:val="nil"/>
            </w:pBdr>
            <w:tabs>
              <w:tab w:val="right" w:pos="10070"/>
            </w:tabs>
            <w:spacing w:before="120" w:after="0" w:line="240" w:lineRule="auto"/>
            <w:ind w:left="240"/>
            <w:rPr>
              <w:color w:val="000000"/>
              <w:sz w:val="22"/>
              <w:szCs w:val="22"/>
            </w:rPr>
          </w:pPr>
          <w:hyperlink w:anchor="_heading=h.qds3zqn69y2x">
            <w:r>
              <w:rPr>
                <w:color w:val="000000"/>
                <w:sz w:val="22"/>
                <w:szCs w:val="22"/>
              </w:rPr>
              <w:t>Facteur de réussite : un réseau cohésif avec des activités efficaces et durables</w:t>
            </w:r>
            <w:r>
              <w:rPr>
                <w:color w:val="000000"/>
                <w:sz w:val="22"/>
                <w:szCs w:val="22"/>
              </w:rPr>
              <w:tab/>
              <w:t>15</w:t>
            </w:r>
          </w:hyperlink>
        </w:p>
        <w:p w14:paraId="647A661A" w14:textId="77777777" w:rsidR="009F2F26" w:rsidRDefault="00000000">
          <w:pPr>
            <w:pBdr>
              <w:top w:val="nil"/>
              <w:left w:val="nil"/>
              <w:bottom w:val="nil"/>
              <w:right w:val="nil"/>
              <w:between w:val="nil"/>
            </w:pBdr>
            <w:tabs>
              <w:tab w:val="right" w:pos="10070"/>
            </w:tabs>
            <w:spacing w:before="120" w:after="0" w:line="240" w:lineRule="auto"/>
            <w:ind w:left="240"/>
            <w:rPr>
              <w:color w:val="000000"/>
              <w:sz w:val="22"/>
              <w:szCs w:val="22"/>
            </w:rPr>
          </w:pPr>
          <w:hyperlink w:anchor="_heading=h.hwpyv566j5at">
            <w:r>
              <w:rPr>
                <w:color w:val="000000"/>
                <w:sz w:val="22"/>
                <w:szCs w:val="22"/>
              </w:rPr>
              <w:t>Facteur de réussite : un écosystème législatif et stratégique favorable et engagé et une communauté d’utilisateurs de données active</w:t>
            </w:r>
            <w:r>
              <w:rPr>
                <w:color w:val="000000"/>
                <w:sz w:val="22"/>
                <w:szCs w:val="22"/>
              </w:rPr>
              <w:tab/>
              <w:t>15</w:t>
            </w:r>
          </w:hyperlink>
        </w:p>
        <w:p w14:paraId="46ABEBB5" w14:textId="77777777" w:rsidR="009F2F26" w:rsidRDefault="00000000">
          <w:pPr>
            <w:widowControl w:val="0"/>
            <w:tabs>
              <w:tab w:val="right" w:pos="12000"/>
            </w:tabs>
            <w:spacing w:before="60" w:after="0" w:line="276" w:lineRule="auto"/>
            <w:rPr>
              <w:sz w:val="22"/>
              <w:szCs w:val="22"/>
            </w:rPr>
          </w:pPr>
          <w:r>
            <w:fldChar w:fldCharType="end"/>
          </w:r>
        </w:p>
      </w:sdtContent>
    </w:sdt>
    <w:p w14:paraId="4C7E46AF" w14:textId="77777777" w:rsidR="009F2F26" w:rsidRDefault="00000000">
      <w:pPr>
        <w:widowControl w:val="0"/>
        <w:tabs>
          <w:tab w:val="right" w:pos="12000"/>
        </w:tabs>
        <w:spacing w:before="60" w:after="0" w:line="276" w:lineRule="auto"/>
        <w:rPr>
          <w:sz w:val="22"/>
          <w:szCs w:val="22"/>
        </w:rPr>
      </w:pPr>
      <w:r>
        <w:rPr>
          <w:rFonts w:ascii="Lato" w:eastAsia="Lato" w:hAnsi="Lato" w:cs="Lato"/>
          <w:b/>
          <w:bCs/>
          <w:color w:val="006A78"/>
          <w:sz w:val="36"/>
          <w:szCs w:val="36"/>
        </w:rPr>
        <w:t>Abréviations</w:t>
      </w:r>
    </w:p>
    <w:p w14:paraId="236A8FCD" w14:textId="77777777" w:rsidR="009F2F26" w:rsidRDefault="00000000">
      <w:pPr>
        <w:spacing w:after="0" w:line="276" w:lineRule="auto"/>
        <w:rPr>
          <w:i/>
          <w:iCs/>
          <w:sz w:val="22"/>
          <w:szCs w:val="22"/>
        </w:rPr>
      </w:pPr>
      <w:r>
        <w:rPr>
          <w:b/>
          <w:bCs/>
          <w:sz w:val="22"/>
          <w:szCs w:val="22"/>
        </w:rPr>
        <w:t>AHD :</w:t>
      </w:r>
      <w:r>
        <w:rPr>
          <w:sz w:val="22"/>
          <w:szCs w:val="22"/>
        </w:rPr>
        <w:t xml:space="preserve"> Algorithmes et données harmonisées : </w:t>
      </w:r>
      <w:r>
        <w:rPr>
          <w:i/>
          <w:iCs/>
          <w:sz w:val="22"/>
          <w:szCs w:val="22"/>
        </w:rPr>
        <w:t>Un groupe de travail au sein du RRDS Canada</w:t>
      </w:r>
    </w:p>
    <w:p w14:paraId="4A1B7859" w14:textId="77777777" w:rsidR="009F2F26" w:rsidRDefault="00000000">
      <w:pPr>
        <w:spacing w:after="0" w:line="276" w:lineRule="auto"/>
        <w:rPr>
          <w:i/>
          <w:iCs/>
          <w:sz w:val="22"/>
          <w:szCs w:val="22"/>
        </w:rPr>
      </w:pPr>
      <w:r>
        <w:rPr>
          <w:b/>
          <w:bCs/>
          <w:sz w:val="22"/>
          <w:szCs w:val="22"/>
        </w:rPr>
        <w:t>CanPath :</w:t>
      </w:r>
      <w:r>
        <w:rPr>
          <w:sz w:val="22"/>
          <w:szCs w:val="22"/>
        </w:rPr>
        <w:t xml:space="preserve"> Partenariat canadien pour la santé de demain : </w:t>
      </w:r>
      <w:r>
        <w:rPr>
          <w:i/>
          <w:iCs/>
          <w:sz w:val="22"/>
          <w:szCs w:val="22"/>
        </w:rPr>
        <w:t xml:space="preserve">Une grande cohorte longitudinale </w:t>
      </w:r>
    </w:p>
    <w:p w14:paraId="1AE4D61C" w14:textId="77777777" w:rsidR="009F2F26" w:rsidRDefault="00000000">
      <w:pPr>
        <w:spacing w:after="0" w:line="276" w:lineRule="auto"/>
        <w:rPr>
          <w:sz w:val="22"/>
          <w:szCs w:val="22"/>
        </w:rPr>
      </w:pPr>
      <w:r>
        <w:rPr>
          <w:b/>
          <w:bCs/>
          <w:sz w:val="22"/>
          <w:szCs w:val="22"/>
        </w:rPr>
        <w:t>MCD :</w:t>
      </w:r>
      <w:r>
        <w:rPr>
          <w:sz w:val="22"/>
          <w:szCs w:val="22"/>
        </w:rPr>
        <w:t xml:space="preserve"> Modèle de données commun</w:t>
      </w:r>
    </w:p>
    <w:p w14:paraId="57F6B99A" w14:textId="77777777" w:rsidR="009F2F26" w:rsidRDefault="00000000">
      <w:pPr>
        <w:spacing w:after="0" w:line="276" w:lineRule="auto"/>
        <w:rPr>
          <w:sz w:val="22"/>
          <w:szCs w:val="22"/>
        </w:rPr>
      </w:pPr>
      <w:r>
        <w:rPr>
          <w:b/>
          <w:bCs/>
          <w:sz w:val="22"/>
          <w:szCs w:val="22"/>
        </w:rPr>
        <w:t>FCI :</w:t>
      </w:r>
      <w:r>
        <w:rPr>
          <w:sz w:val="22"/>
          <w:szCs w:val="22"/>
        </w:rPr>
        <w:t xml:space="preserve"> Fondation canadienne pour l’innovation</w:t>
      </w:r>
    </w:p>
    <w:p w14:paraId="2F3B2316" w14:textId="77777777" w:rsidR="009F2F26" w:rsidRDefault="00000000">
      <w:pPr>
        <w:spacing w:after="0" w:line="276" w:lineRule="auto"/>
        <w:rPr>
          <w:sz w:val="22"/>
          <w:szCs w:val="22"/>
        </w:rPr>
      </w:pPr>
      <w:r>
        <w:rPr>
          <w:b/>
          <w:bCs/>
          <w:sz w:val="22"/>
          <w:szCs w:val="22"/>
        </w:rPr>
        <w:t>ICIS :</w:t>
      </w:r>
      <w:r>
        <w:rPr>
          <w:sz w:val="22"/>
          <w:szCs w:val="22"/>
        </w:rPr>
        <w:t xml:space="preserve"> Institut canadien d’information sur la santé</w:t>
      </w:r>
    </w:p>
    <w:p w14:paraId="0ABDCA2D" w14:textId="77777777" w:rsidR="009F2F26" w:rsidRDefault="00000000">
      <w:pPr>
        <w:spacing w:after="0" w:line="276" w:lineRule="auto"/>
        <w:rPr>
          <w:sz w:val="22"/>
          <w:szCs w:val="22"/>
        </w:rPr>
      </w:pPr>
      <w:r>
        <w:rPr>
          <w:b/>
          <w:bCs/>
          <w:sz w:val="22"/>
          <w:szCs w:val="22"/>
        </w:rPr>
        <w:t>IRSC :</w:t>
      </w:r>
      <w:r>
        <w:rPr>
          <w:sz w:val="22"/>
          <w:szCs w:val="22"/>
        </w:rPr>
        <w:t xml:space="preserve"> Instituts de recherche en santé du Canada</w:t>
      </w:r>
    </w:p>
    <w:p w14:paraId="2E01E941" w14:textId="77777777" w:rsidR="009F2F26" w:rsidRDefault="00000000">
      <w:pPr>
        <w:spacing w:after="0" w:line="276" w:lineRule="auto"/>
        <w:rPr>
          <w:i/>
          <w:iCs/>
          <w:sz w:val="22"/>
          <w:szCs w:val="22"/>
        </w:rPr>
      </w:pPr>
      <w:r>
        <w:rPr>
          <w:b/>
          <w:bCs/>
          <w:sz w:val="22"/>
          <w:szCs w:val="22"/>
        </w:rPr>
        <w:t xml:space="preserve">DAI : </w:t>
      </w:r>
      <w:r>
        <w:rPr>
          <w:sz w:val="22"/>
          <w:szCs w:val="22"/>
        </w:rPr>
        <w:t xml:space="preserve">Inventaire des actifs de données : </w:t>
      </w:r>
      <w:r>
        <w:rPr>
          <w:i/>
          <w:iCs/>
          <w:sz w:val="22"/>
          <w:szCs w:val="22"/>
        </w:rPr>
        <w:t>Une des ressources développées par le RRDS Canada</w:t>
      </w:r>
    </w:p>
    <w:p w14:paraId="1A5E3257" w14:textId="77777777" w:rsidR="009F2F26" w:rsidRDefault="00000000">
      <w:pPr>
        <w:spacing w:after="0" w:line="276" w:lineRule="auto"/>
        <w:rPr>
          <w:i/>
          <w:iCs/>
          <w:sz w:val="22"/>
          <w:szCs w:val="22"/>
        </w:rPr>
      </w:pPr>
      <w:r>
        <w:rPr>
          <w:b/>
          <w:bCs/>
          <w:sz w:val="22"/>
          <w:szCs w:val="22"/>
        </w:rPr>
        <w:t>GSAD :</w:t>
      </w:r>
      <w:r>
        <w:rPr>
          <w:sz w:val="22"/>
          <w:szCs w:val="22"/>
        </w:rPr>
        <w:t xml:space="preserve"> Guichet de soutien à l’accès aux données : </w:t>
      </w:r>
      <w:r>
        <w:rPr>
          <w:i/>
          <w:iCs/>
          <w:sz w:val="22"/>
          <w:szCs w:val="22"/>
        </w:rPr>
        <w:t>Un groupe de travail au sein du RRDS Canada</w:t>
      </w:r>
    </w:p>
    <w:p w14:paraId="2ABDF146" w14:textId="77777777" w:rsidR="009F2F26" w:rsidRDefault="00000000">
      <w:pPr>
        <w:spacing w:after="0" w:line="276" w:lineRule="auto"/>
        <w:rPr>
          <w:sz w:val="22"/>
          <w:szCs w:val="22"/>
        </w:rPr>
      </w:pPr>
      <w:r>
        <w:rPr>
          <w:b/>
          <w:bCs/>
          <w:sz w:val="22"/>
          <w:szCs w:val="22"/>
        </w:rPr>
        <w:t>IDEA :</w:t>
      </w:r>
      <w:r>
        <w:rPr>
          <w:sz w:val="22"/>
          <w:szCs w:val="22"/>
        </w:rPr>
        <w:t xml:space="preserve"> Inclusion, diversité, équité et accessibilité</w:t>
      </w:r>
    </w:p>
    <w:p w14:paraId="53DDD0B6" w14:textId="77777777" w:rsidR="009F2F26" w:rsidRDefault="00000000">
      <w:pPr>
        <w:spacing w:after="0" w:line="276" w:lineRule="auto"/>
        <w:rPr>
          <w:sz w:val="22"/>
          <w:szCs w:val="22"/>
        </w:rPr>
      </w:pPr>
      <w:r>
        <w:rPr>
          <w:b/>
          <w:bCs/>
          <w:sz w:val="22"/>
          <w:szCs w:val="22"/>
        </w:rPr>
        <w:t>ISQ :</w:t>
      </w:r>
      <w:r>
        <w:rPr>
          <w:sz w:val="22"/>
          <w:szCs w:val="22"/>
        </w:rPr>
        <w:t xml:space="preserve"> Institut de la statistique du Québec</w:t>
      </w:r>
    </w:p>
    <w:p w14:paraId="7F9CBE7D" w14:textId="77777777" w:rsidR="009F2F26" w:rsidRDefault="00000000">
      <w:pPr>
        <w:spacing w:after="0" w:line="276" w:lineRule="auto"/>
        <w:rPr>
          <w:sz w:val="22"/>
          <w:szCs w:val="22"/>
        </w:rPr>
      </w:pPr>
      <w:r>
        <w:rPr>
          <w:b/>
          <w:bCs/>
          <w:sz w:val="22"/>
          <w:szCs w:val="22"/>
        </w:rPr>
        <w:t xml:space="preserve">MIG : </w:t>
      </w:r>
      <w:r>
        <w:rPr>
          <w:sz w:val="22"/>
          <w:szCs w:val="22"/>
        </w:rPr>
        <w:t>Groupe de modélisation et d’informatique</w:t>
      </w:r>
    </w:p>
    <w:p w14:paraId="3B44C296" w14:textId="77777777" w:rsidR="009F2F26" w:rsidRDefault="00000000">
      <w:pPr>
        <w:spacing w:after="0" w:line="276" w:lineRule="auto"/>
        <w:rPr>
          <w:i/>
          <w:iCs/>
          <w:sz w:val="22"/>
          <w:szCs w:val="22"/>
        </w:rPr>
      </w:pPr>
      <w:r>
        <w:rPr>
          <w:b/>
          <w:bCs/>
          <w:sz w:val="22"/>
          <w:szCs w:val="22"/>
        </w:rPr>
        <w:t>OMOP :</w:t>
      </w:r>
      <w:r>
        <w:rPr>
          <w:sz w:val="22"/>
          <w:szCs w:val="22"/>
        </w:rPr>
        <w:t xml:space="preserve"> Partenariat pour l’observation des résultats médicaux </w:t>
      </w:r>
      <w:r>
        <w:rPr>
          <w:i/>
          <w:iCs/>
          <w:sz w:val="22"/>
          <w:szCs w:val="22"/>
        </w:rPr>
        <w:t>: Un modèle de données commun largement utilisé que le RRDS Canada est en train de mettre en œuvre</w:t>
      </w:r>
    </w:p>
    <w:p w14:paraId="57E9D406" w14:textId="77777777" w:rsidR="009F2F26" w:rsidRDefault="00000000">
      <w:pPr>
        <w:spacing w:after="0" w:line="276" w:lineRule="auto"/>
        <w:rPr>
          <w:i/>
          <w:iCs/>
          <w:sz w:val="22"/>
          <w:szCs w:val="22"/>
        </w:rPr>
      </w:pPr>
      <w:r>
        <w:rPr>
          <w:b/>
          <w:bCs/>
          <w:sz w:val="22"/>
          <w:szCs w:val="22"/>
        </w:rPr>
        <w:t>CCP :</w:t>
      </w:r>
      <w:r>
        <w:rPr>
          <w:sz w:val="22"/>
          <w:szCs w:val="22"/>
        </w:rPr>
        <w:t xml:space="preserve"> Conseil consultatif public : </w:t>
      </w:r>
      <w:r>
        <w:rPr>
          <w:i/>
          <w:iCs/>
          <w:sz w:val="22"/>
          <w:szCs w:val="22"/>
        </w:rPr>
        <w:t>Un organisme consultatif soutenu par le RRDS Canada</w:t>
      </w:r>
    </w:p>
    <w:p w14:paraId="4077DAB9" w14:textId="77777777" w:rsidR="009F2F26" w:rsidRDefault="00000000">
      <w:pPr>
        <w:spacing w:after="0" w:line="276" w:lineRule="auto"/>
        <w:rPr>
          <w:i/>
          <w:iCs/>
          <w:sz w:val="22"/>
          <w:szCs w:val="22"/>
        </w:rPr>
      </w:pPr>
      <w:r>
        <w:rPr>
          <w:b/>
          <w:bCs/>
          <w:sz w:val="22"/>
          <w:szCs w:val="22"/>
        </w:rPr>
        <w:t>PE :</w:t>
      </w:r>
      <w:r>
        <w:rPr>
          <w:sz w:val="22"/>
          <w:szCs w:val="22"/>
        </w:rPr>
        <w:t xml:space="preserve"> Activités de mobilisation du grand public : </w:t>
      </w:r>
      <w:r>
        <w:rPr>
          <w:i/>
          <w:iCs/>
          <w:sz w:val="22"/>
          <w:szCs w:val="22"/>
        </w:rPr>
        <w:t>Un groupe de travail au sein du RRDS Canada</w:t>
      </w:r>
    </w:p>
    <w:p w14:paraId="510EBE4D" w14:textId="77777777" w:rsidR="009F2F26" w:rsidRDefault="00000000">
      <w:pPr>
        <w:spacing w:after="0" w:line="276" w:lineRule="auto"/>
        <w:rPr>
          <w:sz w:val="22"/>
          <w:szCs w:val="22"/>
        </w:rPr>
      </w:pPr>
      <w:r>
        <w:rPr>
          <w:b/>
          <w:bCs/>
          <w:sz w:val="22"/>
          <w:szCs w:val="22"/>
        </w:rPr>
        <w:t>ASPC :</w:t>
      </w:r>
      <w:r>
        <w:rPr>
          <w:sz w:val="22"/>
          <w:szCs w:val="22"/>
        </w:rPr>
        <w:t xml:space="preserve"> Agence de la santé publique du Canada</w:t>
      </w:r>
    </w:p>
    <w:p w14:paraId="3DA77AAC" w14:textId="77777777" w:rsidR="009F2F26" w:rsidRDefault="00000000">
      <w:pPr>
        <w:spacing w:after="0" w:line="276" w:lineRule="auto"/>
        <w:rPr>
          <w:i/>
          <w:iCs/>
          <w:sz w:val="22"/>
          <w:szCs w:val="22"/>
        </w:rPr>
      </w:pPr>
      <w:r>
        <w:rPr>
          <w:b/>
          <w:bCs/>
          <w:sz w:val="22"/>
          <w:szCs w:val="22"/>
        </w:rPr>
        <w:t>PTTP :</w:t>
      </w:r>
      <w:r>
        <w:rPr>
          <w:sz w:val="22"/>
          <w:szCs w:val="22"/>
        </w:rPr>
        <w:t xml:space="preserve"> Programme d’essais cliniques pragmatiques : </w:t>
      </w:r>
      <w:r>
        <w:rPr>
          <w:i/>
          <w:iCs/>
          <w:sz w:val="22"/>
          <w:szCs w:val="22"/>
        </w:rPr>
        <w:t>Un programme organisé par le RRDS Canada</w:t>
      </w:r>
    </w:p>
    <w:p w14:paraId="5D19E522" w14:textId="77777777" w:rsidR="009F2F26" w:rsidRDefault="00000000">
      <w:pPr>
        <w:spacing w:after="0" w:line="276" w:lineRule="auto"/>
        <w:rPr>
          <w:b/>
          <w:bCs/>
          <w:sz w:val="22"/>
          <w:szCs w:val="22"/>
        </w:rPr>
      </w:pPr>
      <w:r>
        <w:rPr>
          <w:b/>
          <w:bCs/>
          <w:sz w:val="22"/>
          <w:szCs w:val="22"/>
        </w:rPr>
        <w:t>TRE :</w:t>
      </w:r>
      <w:r>
        <w:rPr>
          <w:sz w:val="22"/>
          <w:szCs w:val="22"/>
        </w:rPr>
        <w:t xml:space="preserve"> Environnement de recherche fiable : </w:t>
      </w:r>
      <w:r>
        <w:rPr>
          <w:i/>
          <w:iCs/>
          <w:sz w:val="22"/>
          <w:szCs w:val="22"/>
        </w:rPr>
        <w:t>Terminologie pour les espaces sécurisés où s’effectue l’analyse des données</w:t>
      </w:r>
      <w:r>
        <w:br w:type="page"/>
      </w:r>
    </w:p>
    <w:p w14:paraId="45784296" w14:textId="77777777" w:rsidR="009F2F26" w:rsidRDefault="00000000">
      <w:pPr>
        <w:pStyle w:val="Heading1"/>
        <w:keepNext w:val="0"/>
        <w:keepLines w:val="0"/>
        <w:widowControl w:val="0"/>
        <w:spacing w:after="200" w:line="240" w:lineRule="auto"/>
      </w:pPr>
      <w:bookmarkStart w:id="1" w:name="_heading=h.9g72n0bk7kzg" w:colFirst="0" w:colLast="0"/>
      <w:bookmarkEnd w:id="1"/>
      <w:r>
        <w:lastRenderedPageBreak/>
        <w:t>Section 1 : Tableau de bord des indicateurs de performance organisationnelle</w:t>
      </w:r>
      <w:r>
        <w:rPr>
          <w:noProof/>
        </w:rPr>
        <w:drawing>
          <wp:anchor distT="114300" distB="114300" distL="114300" distR="114300" simplePos="0" relativeHeight="251658240" behindDoc="0" locked="0" layoutInCell="1" hidden="0" allowOverlap="1" wp14:anchorId="6D9A8FB5" wp14:editId="5D87F4FC">
            <wp:simplePos x="0" y="0"/>
            <wp:positionH relativeFrom="column">
              <wp:posOffset>1</wp:posOffset>
            </wp:positionH>
            <wp:positionV relativeFrom="paragraph">
              <wp:posOffset>695325</wp:posOffset>
            </wp:positionV>
            <wp:extent cx="5319713" cy="6877826"/>
            <wp:effectExtent l="0" t="0" r="0" b="0"/>
            <wp:wrapTopAndBottom distT="114300" distB="114300"/>
            <wp:docPr id="1903986586"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8"/>
                    <a:srcRect/>
                    <a:stretch>
                      <a:fillRect/>
                    </a:stretch>
                  </pic:blipFill>
                  <pic:spPr>
                    <a:xfrm>
                      <a:off x="0" y="0"/>
                      <a:ext cx="5319713" cy="6877826"/>
                    </a:xfrm>
                    <a:prstGeom prst="rect">
                      <a:avLst/>
                    </a:prstGeom>
                    <a:ln/>
                  </pic:spPr>
                </pic:pic>
              </a:graphicData>
            </a:graphic>
          </wp:anchor>
        </w:drawing>
      </w:r>
    </w:p>
    <w:p w14:paraId="319F4A49" w14:textId="77777777" w:rsidR="009F2F26" w:rsidRDefault="00000000">
      <w:pPr>
        <w:pStyle w:val="Heading1"/>
        <w:keepNext w:val="0"/>
        <w:keepLines w:val="0"/>
        <w:widowControl w:val="0"/>
        <w:spacing w:after="0" w:line="240" w:lineRule="auto"/>
      </w:pPr>
      <w:bookmarkStart w:id="2" w:name="_heading=h.qq4xiyzgmya9" w:colFirst="0" w:colLast="0"/>
      <w:bookmarkEnd w:id="2"/>
      <w:r>
        <w:rPr>
          <w:sz w:val="18"/>
          <w:szCs w:val="18"/>
        </w:rPr>
        <w:lastRenderedPageBreak/>
        <w:t>Remarque :</w:t>
      </w:r>
      <w:r>
        <w:rPr>
          <w:b w:val="0"/>
          <w:bCs w:val="0"/>
          <w:sz w:val="18"/>
          <w:szCs w:val="18"/>
        </w:rPr>
        <w:t xml:space="preserve"> Les indicateurs sont mis à jour chaque trimestre. Les initiatives en cours ou nouvelles sont indiquées entre crochets.</w:t>
      </w:r>
    </w:p>
    <w:p w14:paraId="46F1AB89" w14:textId="77777777" w:rsidR="009F2F26" w:rsidRDefault="00000000">
      <w:pPr>
        <w:pStyle w:val="Heading1"/>
      </w:pPr>
      <w:r>
        <w:t>Section 2 : Principales réalisations concernant les engagements stratégiques</w:t>
      </w:r>
    </w:p>
    <w:p w14:paraId="404E7884" w14:textId="77777777" w:rsidR="009F2F26" w:rsidRDefault="00000000">
      <w:pPr>
        <w:pStyle w:val="Heading2"/>
        <w:tabs>
          <w:tab w:val="left" w:pos="461"/>
        </w:tabs>
      </w:pPr>
      <w:bookmarkStart w:id="3" w:name="_heading=h.nb1kcfc7a5ao" w:colFirst="0" w:colLast="0"/>
      <w:bookmarkEnd w:id="3"/>
      <w:r>
        <w:t>Objectif 1 : Développer et améliorer les services et le soutien à l’accès aux données</w:t>
      </w:r>
    </w:p>
    <w:p w14:paraId="1D724050" w14:textId="77777777" w:rsidR="009F2F26" w:rsidRDefault="00000000">
      <w:pPr>
        <w:pStyle w:val="Heading3"/>
      </w:pPr>
      <w:bookmarkStart w:id="4" w:name="_heading=h.2pvn4lkl4yn" w:colFirst="0" w:colLast="0"/>
      <w:bookmarkEnd w:id="4"/>
      <w:r>
        <w:t>Progrès des demandes au Guichet de soutien à l’accès aux données (GSAD)</w:t>
      </w:r>
    </w:p>
    <w:p w14:paraId="431A072B" w14:textId="77777777" w:rsidR="009F2F26" w:rsidRDefault="00000000">
      <w:pPr>
        <w:numPr>
          <w:ilvl w:val="0"/>
          <w:numId w:val="12"/>
        </w:numPr>
        <w:spacing w:after="0"/>
      </w:pPr>
      <w:r>
        <w:t>Le groupe de travail du GSAD soutient actuellement 15 demandes d’accès aux données complètes (c’est-à-dire des demandes au-delà de l’évaluation de faisabilité et de la procédure d’admission).</w:t>
      </w:r>
    </w:p>
    <w:p w14:paraId="5891C8BF" w14:textId="77777777" w:rsidR="009F2F26" w:rsidRDefault="00000000">
      <w:pPr>
        <w:numPr>
          <w:ilvl w:val="0"/>
          <w:numId w:val="12"/>
        </w:numPr>
        <w:spacing w:after="0"/>
      </w:pPr>
      <w:r>
        <w:t>Depuis le 1</w:t>
      </w:r>
      <w:r>
        <w:rPr>
          <w:vertAlign w:val="superscript"/>
        </w:rPr>
        <w:t>er</w:t>
      </w:r>
      <w:r>
        <w:t> janvier 2025, le GSAD a reçu 20 nouveaux formulaires d’admission. Cinq d’entre eux sont actifs, 11 sont en attente et quatre sont fermés. Le GSAD s’attend à ce que de nombreux autres projets bénéficient d’une évaluation de la faisabilité à l’approche de la date limite de dépôt des demandes de subvention auprès des Instituts de recherche en santé du Canada (IRSC).</w:t>
      </w:r>
    </w:p>
    <w:p w14:paraId="6BCF3634" w14:textId="77777777" w:rsidR="009F2F26" w:rsidRDefault="00000000">
      <w:pPr>
        <w:numPr>
          <w:ilvl w:val="0"/>
          <w:numId w:val="12"/>
        </w:numPr>
      </w:pPr>
      <w:r>
        <w:t>Le GSAD améliore le soutien offert aux chercheurs en intégrant de nouveaux rôles de gestionnaire de cas et d’expert en science des données dans la conception de ses services conformément au projet pancanadien de service d’analyse de données pour les utilisateurs de connaissances (CAN-ASK). Les projets bénéficient déjà de cette nouvelle approche.</w:t>
      </w:r>
    </w:p>
    <w:p w14:paraId="075F5B89" w14:textId="77777777" w:rsidR="009F2F26" w:rsidRDefault="00000000">
      <w:pPr>
        <w:pStyle w:val="Heading3"/>
      </w:pPr>
      <w:bookmarkStart w:id="5" w:name="_heading=h.lnvia41hna9b" w:colFirst="0" w:colLast="0"/>
      <w:bookmarkEnd w:id="5"/>
      <w:r>
        <w:t>Large public touché par les communications et les promotions du GSAD</w:t>
      </w:r>
    </w:p>
    <w:p w14:paraId="704746F2" w14:textId="77777777" w:rsidR="009F2F26" w:rsidRDefault="00000000">
      <w:pPr>
        <w:numPr>
          <w:ilvl w:val="0"/>
          <w:numId w:val="7"/>
        </w:numPr>
        <w:spacing w:after="0"/>
      </w:pPr>
      <w:r>
        <w:t>Le Réseau de recherche sur les données de santé du Canada (RRDS Canada) propose un nouveau service en offrant des heures de bureau. Des scientifiques offrent des conseils personnalisés en répondant aux questions sur les méthodes, les services d’analyse, les données harmonisées et d’autres ressources du RRDS Canada pour aider les universitaires à rédiger leurs demandes de subvention pour qu’elles soient acceptées.</w:t>
      </w:r>
    </w:p>
    <w:p w14:paraId="7979AA3F" w14:textId="77777777" w:rsidR="009F2F26" w:rsidRDefault="00000000">
      <w:pPr>
        <w:numPr>
          <w:ilvl w:val="0"/>
          <w:numId w:val="7"/>
        </w:numPr>
        <w:spacing w:after="0"/>
      </w:pPr>
      <w:r>
        <w:t xml:space="preserve">Le GSAD a présenté une affiche intitulée </w:t>
      </w:r>
      <w:r>
        <w:rPr>
          <w:i/>
          <w:iCs/>
        </w:rPr>
        <w:t>Renforcer les capacités à l’échelle du Canada pour soutenir l’accès aux données pour la recherche multirégionale</w:t>
      </w:r>
      <w:r>
        <w:t xml:space="preserve"> et coorganisé un </w:t>
      </w:r>
      <w:r>
        <w:lastRenderedPageBreak/>
        <w:t>atelier préconférence lié aux données sur le personnel de la santé au Canada avec l’Institut canadien d’information sur la santé, Effectif de la santé Canada et d’autres organisations lors de la conférence de l’Association canadienne pour la recherche sur les services et les politiques de la santé (ACRSPS) en mai 2025.</w:t>
      </w:r>
    </w:p>
    <w:p w14:paraId="4B85284D" w14:textId="77777777" w:rsidR="009F2F26" w:rsidRDefault="00000000">
      <w:pPr>
        <w:numPr>
          <w:ilvl w:val="0"/>
          <w:numId w:val="7"/>
        </w:numPr>
        <w:spacing w:after="0"/>
      </w:pPr>
      <w:r>
        <w:t xml:space="preserve">Le GSAD a coorganisé avec le groupe de modélisation et d’informatique le webinaire </w:t>
      </w:r>
      <w:r>
        <w:rPr>
          <w:i/>
          <w:iCs/>
        </w:rPr>
        <w:t>Analyse distribuée pour la recherche multirégionale</w:t>
      </w:r>
      <w:r>
        <w:t xml:space="preserve"> en juin 2025. Le webinaire a attiré un public nombreux, soit 165 personnes en direct et a cumulé 583 vues sur la chaîne YouTube du RRDS Canada (en date du 5 août 2025). Le GSAD a également collaboré avec de nombreux groupes de travail et équipes pour soutenir le lancement de nouvelles ressources en ligne sur l’analyse distribuée.</w:t>
      </w:r>
    </w:p>
    <w:p w14:paraId="4E67DDB9" w14:textId="77777777" w:rsidR="009F2F26" w:rsidRDefault="00000000">
      <w:pPr>
        <w:numPr>
          <w:ilvl w:val="0"/>
          <w:numId w:val="7"/>
        </w:numPr>
      </w:pPr>
      <w:r>
        <w:t>En juillet 2025, le GSAD a coanimé deux webinaires avec l’ICES sur les services d’accès aux données pour la recherche multirégionale et sur les ressources et outils dont disposent les chercheurs pour les aider à présenter des demandes de subvention.</w:t>
      </w:r>
    </w:p>
    <w:p w14:paraId="01B1F48D" w14:textId="77777777" w:rsidR="009F2F26" w:rsidRDefault="00000000">
      <w:pPr>
        <w:pStyle w:val="Heading3"/>
      </w:pPr>
      <w:bookmarkStart w:id="6" w:name="_heading=h.aaiqw3soqqab" w:colFirst="0" w:colLast="0"/>
      <w:bookmarkEnd w:id="6"/>
      <w:r>
        <w:t>Modernisation des formulaires</w:t>
      </w:r>
    </w:p>
    <w:p w14:paraId="22FF7FBE" w14:textId="77777777" w:rsidR="009F2F26" w:rsidRDefault="00000000">
      <w:pPr>
        <w:numPr>
          <w:ilvl w:val="0"/>
          <w:numId w:val="27"/>
        </w:numPr>
        <w:spacing w:after="0"/>
      </w:pPr>
      <w:r>
        <w:t>Le GSAD a lancé son formulaire d’admission modernisé et son nouveau formulaire de demande le 1</w:t>
      </w:r>
      <w:r>
        <w:rPr>
          <w:vertAlign w:val="superscript"/>
        </w:rPr>
        <w:t>er</w:t>
      </w:r>
      <w:r>
        <w:t> août 2025. Ce formulaire a été conçu pour améliorer l’expérience des chercheurs qui utilisent les services du GSAD. La conception du formulaire a été repensée et se fonde sur les principes de l’expérience utilisateur.</w:t>
      </w:r>
    </w:p>
    <w:p w14:paraId="3ED4708C" w14:textId="77777777" w:rsidR="009F2F26" w:rsidRDefault="00000000">
      <w:pPr>
        <w:numPr>
          <w:ilvl w:val="0"/>
          <w:numId w:val="27"/>
        </w:numPr>
        <w:rPr>
          <w:sz w:val="22"/>
          <w:szCs w:val="22"/>
        </w:rPr>
      </w:pPr>
      <w:r>
        <w:t>Le GSAD est en train de moderniser son portail en ligne de formulaires centralisés. La prochaine mise à jour prévue est la section du portail consacrée à l’évaluation de la faisabilité et à l’estimation des coûts.</w:t>
      </w:r>
    </w:p>
    <w:p w14:paraId="76EE7124" w14:textId="77777777" w:rsidR="009F2F26" w:rsidRDefault="00000000">
      <w:pPr>
        <w:pStyle w:val="Heading3"/>
        <w:rPr>
          <w:sz w:val="22"/>
          <w:szCs w:val="22"/>
        </w:rPr>
      </w:pPr>
      <w:bookmarkStart w:id="7" w:name="_heading=h.adxwqlaem7lz" w:colFirst="0" w:colLast="0"/>
      <w:bookmarkEnd w:id="7"/>
      <w:r>
        <w:t>Expérience utilisateur</w:t>
      </w:r>
      <w:r>
        <w:rPr>
          <w:sz w:val="22"/>
          <w:szCs w:val="22"/>
        </w:rPr>
        <w:t xml:space="preserve"> </w:t>
      </w:r>
    </w:p>
    <w:p w14:paraId="34775A74" w14:textId="77777777" w:rsidR="009F2F26" w:rsidRDefault="00000000">
      <w:pPr>
        <w:numPr>
          <w:ilvl w:val="0"/>
          <w:numId w:val="13"/>
        </w:numPr>
      </w:pPr>
      <w:r>
        <w:t>Le GSAD a lancé un groupe sur l’expérience utilisateur qui se concentrera sur l’amélioration des renseignements recueillis sur l’expérience des chercheurs qui utilisent ses services afin d’éclairer l’évaluation du programme et d’améliorer les sondages quantitatifs existants sur les utilisateurs du GSAD à mi-parcours et à la fin de projets.</w:t>
      </w:r>
    </w:p>
    <w:p w14:paraId="61D5EF07" w14:textId="77777777" w:rsidR="009F2F26" w:rsidRDefault="00000000">
      <w:pPr>
        <w:pStyle w:val="Heading3"/>
      </w:pPr>
      <w:bookmarkStart w:id="8" w:name="_heading=h.99h113i1rb9r" w:colFirst="0" w:colLast="0"/>
      <w:bookmarkEnd w:id="8"/>
      <w:r>
        <w:lastRenderedPageBreak/>
        <w:t>Relation stratégique avec CanReview</w:t>
      </w:r>
    </w:p>
    <w:p w14:paraId="673FC60B" w14:textId="77777777" w:rsidR="009F2F26" w:rsidRDefault="00000000">
      <w:pPr>
        <w:numPr>
          <w:ilvl w:val="0"/>
          <w:numId w:val="23"/>
        </w:numPr>
        <w:spacing w:after="0"/>
      </w:pPr>
      <w:r>
        <w:t>Lancé à l’été 2025, CanReview est une ressource en ligne pancanadienne qui permet d’utiliser un seul comité d’éthique de la recherche (CER) pour évaluer les essais cliniques multirégionaux.</w:t>
      </w:r>
    </w:p>
    <w:p w14:paraId="149D806C" w14:textId="77777777" w:rsidR="009F2F26" w:rsidRDefault="00000000">
      <w:pPr>
        <w:numPr>
          <w:ilvl w:val="0"/>
          <w:numId w:val="23"/>
        </w:numPr>
        <w:spacing w:after="0"/>
      </w:pPr>
      <w:r>
        <w:t>Au cours des derniers mois, les équipes des partenariats et de la protection de la vie privée du RRDS Canada ont commencé à établir une relation stratégique avec l’équipe de CanReview pour déterminer si la ressource pourrait inclure les recherches multirégionales utilisant des données administratives.</w:t>
      </w:r>
    </w:p>
    <w:p w14:paraId="79545C57" w14:textId="77777777" w:rsidR="009F2F26" w:rsidRDefault="00000000">
      <w:pPr>
        <w:numPr>
          <w:ilvl w:val="0"/>
          <w:numId w:val="23"/>
        </w:numPr>
      </w:pPr>
      <w:r>
        <w:t>L’équipe de la protection de la vie privée a procédé à un exercice d’évaluation des exigences législatives relatives aux CER (c’est-à-dire qu’elle a défini les régions où l’évaluation par un CER doit se faire dans la province ou le territoire en question) et a repéré les principales personnes à contacter pour les approbations de CER dans chaque province ou territoire.</w:t>
      </w:r>
    </w:p>
    <w:p w14:paraId="34675CC8" w14:textId="77777777" w:rsidR="009F2F26" w:rsidRDefault="00000000">
      <w:pPr>
        <w:pStyle w:val="Heading2"/>
        <w:tabs>
          <w:tab w:val="left" w:pos="461"/>
        </w:tabs>
      </w:pPr>
      <w:bookmarkStart w:id="9" w:name="_heading=h.otr3rn4fr2bx" w:colFirst="0" w:colLast="0"/>
      <w:bookmarkEnd w:id="9"/>
      <w:r>
        <w:t>Objectif 2 : Diversifier et harmoniser les données, et soutenir une utilisation des données innovante et respectueuse de la vie privée</w:t>
      </w:r>
    </w:p>
    <w:p w14:paraId="7C5F4323" w14:textId="77777777" w:rsidR="009F2F26" w:rsidRDefault="00000000">
      <w:pPr>
        <w:pStyle w:val="Heading3"/>
      </w:pPr>
      <w:bookmarkStart w:id="10" w:name="_heading=h.o2ew4a3hvtw8" w:colFirst="0" w:colLast="0"/>
      <w:bookmarkEnd w:id="10"/>
      <w:r>
        <w:t>Entraînement local de l’outil d’apprentissage automatique MASK pour la dépersonnalisation des données en texte libre</w:t>
      </w:r>
    </w:p>
    <w:p w14:paraId="6D9F97CA" w14:textId="77777777" w:rsidR="009F2F26" w:rsidRDefault="00000000">
      <w:pPr>
        <w:numPr>
          <w:ilvl w:val="0"/>
          <w:numId w:val="17"/>
        </w:numPr>
        <w:spacing w:after="0"/>
      </w:pPr>
      <w:r>
        <w:t>Les sites pilotes du Manitoba et de l’Ontario ont commencé à utiliser des données cliniques annotées localement pour entraîner et perfectionner l’outil MASK.</w:t>
      </w:r>
    </w:p>
    <w:p w14:paraId="1E8F06D0" w14:textId="77777777" w:rsidR="009F2F26" w:rsidRDefault="00000000">
      <w:pPr>
        <w:numPr>
          <w:ilvl w:val="0"/>
          <w:numId w:val="17"/>
        </w:numPr>
        <w:spacing w:after="0"/>
      </w:pPr>
      <w:r>
        <w:t>La dernière phase d’apprentissage distribué du projet permettra aux sites de collaborer pour améliorer les modèles MASK de chaque site et construire un outil généralisable sans partager les données brutes. Cette approche novatrice présente des défis uniques en ce qui concerne la protection de la vie privée, et l’équipe formule des recommandations qui seront examinées par les équipes de la protection de la vie privée afin d’atténuer les risques en la matière.</w:t>
      </w:r>
    </w:p>
    <w:p w14:paraId="700518B9" w14:textId="77777777" w:rsidR="009F2F26" w:rsidRDefault="00000000">
      <w:pPr>
        <w:numPr>
          <w:ilvl w:val="0"/>
          <w:numId w:val="17"/>
        </w:numPr>
        <w:spacing w:after="0"/>
      </w:pPr>
      <w:r>
        <w:t xml:space="preserve">La phase d’apprentissage distribué nécessitera l’approbation du partage des paramètres du modèle pour chaque site. Le groupe de travail du projet a élaboré un </w:t>
      </w:r>
      <w:r>
        <w:lastRenderedPageBreak/>
        <w:t>plan de projet d’apprentissage fédéré à transmettre aux parties prenantes de chaque site pour obtenir leur approbation.</w:t>
      </w:r>
    </w:p>
    <w:p w14:paraId="0E927622" w14:textId="77777777" w:rsidR="009F2F26" w:rsidRDefault="00000000">
      <w:pPr>
        <w:pStyle w:val="Heading3"/>
      </w:pPr>
      <w:bookmarkStart w:id="11" w:name="_heading=h.j31pwbiineo0" w:colFirst="0" w:colLast="0"/>
      <w:bookmarkEnd w:id="11"/>
      <w:r>
        <w:t>Prototype de la plateforme du dictionnaire de concepts pancanadien (DCP)</w:t>
      </w:r>
    </w:p>
    <w:p w14:paraId="23CAB2D2" w14:textId="77777777" w:rsidR="009F2F26" w:rsidRDefault="00000000">
      <w:pPr>
        <w:numPr>
          <w:ilvl w:val="0"/>
          <w:numId w:val="1"/>
        </w:numPr>
        <w:spacing w:after="0"/>
      </w:pPr>
      <w:r>
        <w:t>SAIL Databank a terminé la configuration d’un prototype du DCP, y compris l’intégration d’un gabarit de concept normalisé élaboré par le groupe de travail Algorithmes et données harmonisées.La plateforme du DCP améliorera la compréhension et l’utilisation des données. Elle est prête pour le projet pilote.</w:t>
      </w:r>
    </w:p>
    <w:p w14:paraId="323AEC2B" w14:textId="77777777" w:rsidR="009F2F26" w:rsidRDefault="00000000">
      <w:pPr>
        <w:numPr>
          <w:ilvl w:val="0"/>
          <w:numId w:val="1"/>
        </w:numPr>
        <w:spacing w:after="0"/>
      </w:pPr>
      <w:r>
        <w:t>Le projet pilote évaluera la facilité d’utilisation et la valeur du DCP en tant que dépôt centralisé et collaboratif pour les concepts en recherche, comme les définitions, les algorithmes et les méthodologies des centres de données et des partenaires du RRDS Canada, et éclairera les améliorations futures et la planification de la mise en œuvre complète.</w:t>
      </w:r>
    </w:p>
    <w:p w14:paraId="19830B36" w14:textId="77777777" w:rsidR="009F2F26" w:rsidRDefault="00000000">
      <w:pPr>
        <w:pStyle w:val="Heading3"/>
      </w:pPr>
      <w:bookmarkStart w:id="12" w:name="_heading=h.3fhcea2m8e0s" w:colFirst="0" w:colLast="0"/>
      <w:bookmarkEnd w:id="12"/>
      <w:r>
        <w:t>Ressources sur la protection de la vie privée en cours d’élaboration</w:t>
      </w:r>
    </w:p>
    <w:p w14:paraId="5351C512" w14:textId="77777777" w:rsidR="009F2F26" w:rsidRDefault="00000000">
      <w:pPr>
        <w:numPr>
          <w:ilvl w:val="0"/>
          <w:numId w:val="5"/>
        </w:numPr>
        <w:spacing w:after="0"/>
      </w:pPr>
      <w:r>
        <w:t>L’élaboration de la ressource de formation en ligne sur la protection de la vie privée s’est accélérée. Il existe des ébauches pour sept des neuf modules prévus. La publication de la version bêta de la ressource est toujours prévue pour janvier 2026.</w:t>
      </w:r>
    </w:p>
    <w:p w14:paraId="0302350F" w14:textId="77777777" w:rsidR="009F2F26" w:rsidRDefault="00000000">
      <w:pPr>
        <w:numPr>
          <w:ilvl w:val="0"/>
          <w:numId w:val="5"/>
        </w:numPr>
        <w:spacing w:after="200"/>
      </w:pPr>
      <w:r>
        <w:t>Des mises à jour ont été apportées à la liste de contrôle de l’accord de partage des données publiée sur le site web du RRDS Canada. Cet outil complet fournit des renseignements détaillés à chacun des partenaires sur les critères de l’organisme qui partage les données et d’un environnement de recherche fiable ou de l’organisme de gérance des données.</w:t>
      </w:r>
    </w:p>
    <w:p w14:paraId="06BA3B0C" w14:textId="77777777" w:rsidR="009F2F26" w:rsidRDefault="00000000">
      <w:pPr>
        <w:pStyle w:val="Heading2"/>
        <w:tabs>
          <w:tab w:val="left" w:pos="461"/>
        </w:tabs>
      </w:pPr>
      <w:bookmarkStart w:id="13" w:name="_heading=h.8hhc3wxmswm5" w:colFirst="0" w:colLast="0"/>
      <w:bookmarkEnd w:id="13"/>
      <w:r>
        <w:t>Objectif 3 : Établir et renforcer les partenariats et faire preuve de leadership dans l’évolution des pratiques en matière de données</w:t>
      </w:r>
    </w:p>
    <w:p w14:paraId="3177F07D" w14:textId="77777777" w:rsidR="009F2F26" w:rsidRDefault="00000000">
      <w:pPr>
        <w:pStyle w:val="Heading3"/>
      </w:pPr>
      <w:bookmarkStart w:id="14" w:name="_heading=h.w4iio1pundv1" w:colFirst="0" w:colLast="0"/>
      <w:bookmarkEnd w:id="14"/>
      <w:r>
        <w:t>Promouvoir la collaboration partout au pays sur le modèle de données commun de l’Observational Medical Outcomes Partnership (OMOP)</w:t>
      </w:r>
    </w:p>
    <w:p w14:paraId="6151AD90" w14:textId="77777777" w:rsidR="009F2F26" w:rsidRDefault="00000000">
      <w:pPr>
        <w:numPr>
          <w:ilvl w:val="0"/>
          <w:numId w:val="3"/>
        </w:numPr>
        <w:spacing w:after="0"/>
      </w:pPr>
      <w:r>
        <w:t xml:space="preserve">Nous organisons un événement de mobilisation pancanadien en novembre 2025 afin de soutenir la collaboration à l’échelle du pays sur le modèle de données commun de </w:t>
      </w:r>
      <w:r>
        <w:lastRenderedPageBreak/>
        <w:t>l’OMOP. Cet événement servira à jeter les bases de la première section canadienne de la communauté mondiale de l’OMOP et contribuera à définir le rôle de leader du RRDS Canada dans la communauté nationale de l’OMOP.</w:t>
      </w:r>
    </w:p>
    <w:p w14:paraId="157C46D1" w14:textId="77777777" w:rsidR="009F2F26" w:rsidRDefault="00000000">
      <w:pPr>
        <w:numPr>
          <w:ilvl w:val="0"/>
          <w:numId w:val="3"/>
        </w:numPr>
        <w:spacing w:after="0"/>
      </w:pPr>
      <w:r>
        <w:t>Un comité de programme guide sa planification. Il se compose de cliniciens, d’experts en données et de membres de l’équipe de l’exploitation du RRDS Canada.</w:t>
      </w:r>
    </w:p>
    <w:p w14:paraId="5BB58575" w14:textId="77777777" w:rsidR="009F2F26" w:rsidRDefault="00000000">
      <w:pPr>
        <w:numPr>
          <w:ilvl w:val="0"/>
          <w:numId w:val="3"/>
        </w:numPr>
        <w:spacing w:after="200"/>
      </w:pPr>
      <w:r>
        <w:t>Nous démarchons des organisations partout au pays pour susciter de l’intérêt, mieux comprendre le paysage actuel de l’adoption de l’OMOP au Canada et explorer les possibilités de parrainage et de coorganisation de l’événement.</w:t>
      </w:r>
    </w:p>
    <w:p w14:paraId="5DCDC8EC" w14:textId="77777777" w:rsidR="009F2F26" w:rsidRDefault="00000000">
      <w:pPr>
        <w:pStyle w:val="Heading3"/>
      </w:pPr>
      <w:bookmarkStart w:id="15" w:name="_heading=h.ii5zzn3smcma" w:colFirst="0" w:colLast="0"/>
      <w:bookmarkEnd w:id="15"/>
      <w:r>
        <w:t>Achèvement d’un projet pilote d’analyse distribuée</w:t>
      </w:r>
    </w:p>
    <w:p w14:paraId="3AA1E365" w14:textId="77777777" w:rsidR="009F2F26" w:rsidRDefault="00000000">
      <w:pPr>
        <w:numPr>
          <w:ilvl w:val="0"/>
          <w:numId w:val="2"/>
        </w:numPr>
        <w:spacing w:after="0"/>
        <w:rPr>
          <w:color w:val="000000"/>
        </w:rPr>
      </w:pPr>
      <w:r>
        <w:t>Ce projet comprenait une analyse distribuée dans trois provinces. Il faisait l’analyse du délai jusqu’à l’événement (régression de Cox) pour les risques de COVID. C’était le premier essai de cette méthode d’analyse dans le cadre d’un projet du GSAD du RRDS Canada.</w:t>
      </w:r>
    </w:p>
    <w:p w14:paraId="6F9D757A" w14:textId="77777777" w:rsidR="009F2F26" w:rsidRDefault="00000000">
      <w:pPr>
        <w:numPr>
          <w:ilvl w:val="0"/>
          <w:numId w:val="2"/>
        </w:numPr>
        <w:spacing w:after="0"/>
        <w:rPr>
          <w:color w:val="000000"/>
        </w:rPr>
      </w:pPr>
      <w:r>
        <w:t>Le projet a nécessité un travail important pour que les trois provinces acceptent l’approche de l’analyse distribuée, pour bien comprendre les composants analytiques et pour optimiser le code permettant d’exécuter l’analyse.</w:t>
      </w:r>
    </w:p>
    <w:p w14:paraId="06B0B6B8" w14:textId="77777777" w:rsidR="009F2F26" w:rsidRDefault="00000000">
      <w:pPr>
        <w:numPr>
          <w:ilvl w:val="0"/>
          <w:numId w:val="2"/>
        </w:numPr>
        <w:rPr>
          <w:color w:val="000000"/>
        </w:rPr>
      </w:pPr>
      <w:r>
        <w:rPr>
          <w:color w:val="000000"/>
        </w:rPr>
        <w:t>L’achèvement du projet fournit de précieuses données au RRDS Canada pour les projets à venir du GSAD. La régression de Cox figure désormais sur le site Web du RRDS Canada en tant que méthode prise en charge, et des ressources sont à la disposition des chercheurs pour les aider à comprendre et à utiliser cette méthode d’analyse distribuée.</w:t>
      </w:r>
    </w:p>
    <w:p w14:paraId="445E6BD0" w14:textId="77777777" w:rsidR="009F2F26" w:rsidRDefault="00000000">
      <w:pPr>
        <w:pStyle w:val="Heading3"/>
        <w:pBdr>
          <w:top w:val="nil"/>
          <w:left w:val="nil"/>
          <w:bottom w:val="nil"/>
          <w:right w:val="nil"/>
          <w:between w:val="nil"/>
        </w:pBdr>
      </w:pPr>
      <w:bookmarkStart w:id="16" w:name="_heading=h.b5mcm8im40py" w:colFirst="0" w:colLast="0"/>
      <w:bookmarkEnd w:id="16"/>
      <w:r>
        <w:t>Utilisation de données fédérées : méthodes pour les petites cellules</w:t>
      </w:r>
    </w:p>
    <w:p w14:paraId="755AE286" w14:textId="77777777" w:rsidR="009F2F26" w:rsidRDefault="00000000">
      <w:pPr>
        <w:numPr>
          <w:ilvl w:val="0"/>
          <w:numId w:val="28"/>
        </w:numPr>
        <w:spacing w:after="200"/>
        <w:rPr>
          <w:sz w:val="22"/>
          <w:szCs w:val="22"/>
        </w:rPr>
      </w:pPr>
      <w:r>
        <w:t>L’équipe de la protection de la vie privée fournit des conseils sur les politiques de protection de la vie privée pour les travaux sur les méthodes de recherche pour les petites cellules utilisant l’analyse fédérée. Au prochain trimestre, l’équipe continuera de soutenir ces efforts en préparant une note d’information sur les considérations relatives à la protection de la vie privée.</w:t>
      </w:r>
    </w:p>
    <w:p w14:paraId="3AB13853" w14:textId="77777777" w:rsidR="009F2F26" w:rsidRDefault="00000000">
      <w:pPr>
        <w:pStyle w:val="Heading3"/>
      </w:pPr>
      <w:bookmarkStart w:id="17" w:name="_heading=h.klxndvqbjm33" w:colFirst="0" w:colLast="0"/>
      <w:bookmarkEnd w:id="17"/>
      <w:r>
        <w:lastRenderedPageBreak/>
        <w:t>Plan de l’Alliance pour la recherche sur les données de santé</w:t>
      </w:r>
    </w:p>
    <w:p w14:paraId="3BCA958E" w14:textId="77777777" w:rsidR="009F2F26" w:rsidRDefault="00000000">
      <w:pPr>
        <w:numPr>
          <w:ilvl w:val="0"/>
          <w:numId w:val="16"/>
        </w:numPr>
        <w:spacing w:after="0"/>
      </w:pPr>
      <w:r>
        <w:t xml:space="preserve">L’Alliance pour la recherche sur les données de santé a tenu sa première réunion thématique intitulée </w:t>
      </w:r>
      <w:r>
        <w:rPr>
          <w:i/>
          <w:iCs/>
        </w:rPr>
        <w:t>Démontrer l’incidence sur l’organisation et la recherche</w:t>
      </w:r>
      <w:r>
        <w:t>, qui a débouché sur un nouveau projet sur ce même thème. Un cadre pour rendre compte de l’incidence sur l’organisation et la recherche a été créé à partir du cadre de la Déclaration sur l’évaluation de la recherche, mais en le modifiant pour tenir compte des rôles variés de nos membres dans l’écosystème de la santé et de la recherche. Le cadre aborde les trois champs d’action collective essentiels de notre plan d’action (PA).</w:t>
      </w:r>
    </w:p>
    <w:p w14:paraId="65D83469" w14:textId="77777777" w:rsidR="009F2F26" w:rsidRDefault="00000000">
      <w:pPr>
        <w:numPr>
          <w:ilvl w:val="1"/>
          <w:numId w:val="16"/>
        </w:numPr>
        <w:spacing w:after="0"/>
      </w:pPr>
      <w:r>
        <w:t>Point 1 du PA : Favoriser le partage et l’utilisation des données au niveau multirégional et l’accès à celles-ci.</w:t>
      </w:r>
    </w:p>
    <w:p w14:paraId="325F9974" w14:textId="77777777" w:rsidR="009F2F26" w:rsidRDefault="00000000">
      <w:pPr>
        <w:numPr>
          <w:ilvl w:val="1"/>
          <w:numId w:val="16"/>
        </w:numPr>
        <w:spacing w:after="0"/>
      </w:pPr>
      <w:r>
        <w:t>Point 2 du PA : Promouvoir la compréhension de l’écosystème des données de santé et la littératie des données.</w:t>
      </w:r>
    </w:p>
    <w:p w14:paraId="188ED3E8" w14:textId="77777777" w:rsidR="009F2F26" w:rsidRDefault="00000000">
      <w:pPr>
        <w:numPr>
          <w:ilvl w:val="1"/>
          <w:numId w:val="16"/>
        </w:numPr>
        <w:spacing w:after="0"/>
      </w:pPr>
      <w:r>
        <w:t>Point 3 du PA : Assurer la pérennité de l’infrastructure pancanadienne de données et de recherche.</w:t>
      </w:r>
    </w:p>
    <w:p w14:paraId="3A6419D0" w14:textId="77777777" w:rsidR="009F2F26" w:rsidRDefault="00000000">
      <w:pPr>
        <w:numPr>
          <w:ilvl w:val="0"/>
          <w:numId w:val="16"/>
        </w:numPr>
        <w:spacing w:after="0"/>
      </w:pPr>
      <w:r>
        <w:t>À la fin, le produit livrable sera une série de documents promotionnels sur les points forts des membres de l’Alliance pour la recherche sur les données de santé et les contributions pour ses futurs plans d’action.</w:t>
      </w:r>
    </w:p>
    <w:p w14:paraId="2D3F12AF" w14:textId="77777777" w:rsidR="009F2F26" w:rsidRDefault="00000000">
      <w:pPr>
        <w:numPr>
          <w:ilvl w:val="0"/>
          <w:numId w:val="16"/>
        </w:numPr>
        <w:spacing w:after="200"/>
      </w:pPr>
      <w:r>
        <w:t xml:space="preserve">Les réunions du forum </w:t>
      </w:r>
      <w:r>
        <w:rPr>
          <w:i/>
          <w:iCs/>
        </w:rPr>
        <w:t>Travailler avec des données fédérées</w:t>
      </w:r>
      <w:r>
        <w:t xml:space="preserve"> se sont poursuivies avec des séances sur un cas d’utilisation pour les essais cliniques pragmatiques, de petites cellules nationales et des mises à jour sur les projets pilotes d’analyse distribuée et de petites cellules.</w:t>
      </w:r>
    </w:p>
    <w:p w14:paraId="67BCA069" w14:textId="77777777" w:rsidR="009F2F26" w:rsidRDefault="00000000">
      <w:pPr>
        <w:spacing w:after="0"/>
        <w:rPr>
          <w:rFonts w:ascii="Lato" w:eastAsia="Lato" w:hAnsi="Lato" w:cs="Lato"/>
          <w:color w:val="006A78"/>
          <w:sz w:val="28"/>
          <w:szCs w:val="28"/>
        </w:rPr>
      </w:pPr>
      <w:r>
        <w:rPr>
          <w:rFonts w:ascii="Lato" w:eastAsia="Lato" w:hAnsi="Lato" w:cs="Lato"/>
          <w:color w:val="006A78"/>
          <w:sz w:val="28"/>
          <w:szCs w:val="28"/>
        </w:rPr>
        <w:t>Poursuite de la collaboration avec les partenaires internationaux</w:t>
      </w:r>
    </w:p>
    <w:p w14:paraId="4A62B802" w14:textId="77777777" w:rsidR="009F2F26" w:rsidRDefault="00000000">
      <w:pPr>
        <w:numPr>
          <w:ilvl w:val="0"/>
          <w:numId w:val="25"/>
        </w:numPr>
        <w:spacing w:after="0"/>
      </w:pPr>
      <w:r>
        <w:t>Les partenaires internationaux (RRDS Canada, Health Data Research au Royaume-Uni, Administrative Data au Royaume-Uni et Population Health Research Network en Australie) ont convenu de réunions mensuelles et d’un plan de collaboration pour 2025-2026.</w:t>
      </w:r>
    </w:p>
    <w:p w14:paraId="4839F2BA" w14:textId="77777777" w:rsidR="009F2F26" w:rsidRDefault="00000000">
      <w:pPr>
        <w:numPr>
          <w:ilvl w:val="0"/>
          <w:numId w:val="25"/>
        </w:numPr>
        <w:spacing w:after="200"/>
      </w:pPr>
      <w:r>
        <w:t xml:space="preserve">Une réunion virtuelle des hauts responsables des partenaires internationaux est prévue à l’automne 2025. L’objectif de cette réunion est de communiquer les progrès, d’aligner </w:t>
      </w:r>
      <w:r>
        <w:lastRenderedPageBreak/>
        <w:t>les priorités et de renforcer les relations entre nos organisations. Nous discuterons également des projets pour la conférence 2026 de l’IPDLN.</w:t>
      </w:r>
    </w:p>
    <w:p w14:paraId="7221A6C7" w14:textId="77777777" w:rsidR="009F2F26" w:rsidRDefault="00000000">
      <w:pPr>
        <w:spacing w:after="0"/>
        <w:rPr>
          <w:rFonts w:ascii="Lato" w:eastAsia="Lato" w:hAnsi="Lato" w:cs="Lato"/>
          <w:color w:val="006A78"/>
          <w:sz w:val="28"/>
          <w:szCs w:val="28"/>
        </w:rPr>
      </w:pPr>
      <w:r>
        <w:rPr>
          <w:rFonts w:ascii="Lato" w:eastAsia="Lato" w:hAnsi="Lato" w:cs="Lato"/>
          <w:color w:val="006A78"/>
          <w:sz w:val="28"/>
          <w:szCs w:val="28"/>
        </w:rPr>
        <w:t>Comité consultatif de la Plateforme canadienne de données de la Stratégie de recherche axée sur le patient (SRAP)</w:t>
      </w:r>
    </w:p>
    <w:p w14:paraId="10081F00" w14:textId="77777777" w:rsidR="009F2F26" w:rsidRDefault="00000000">
      <w:pPr>
        <w:numPr>
          <w:ilvl w:val="0"/>
          <w:numId w:val="10"/>
        </w:numPr>
        <w:spacing w:after="200"/>
      </w:pPr>
      <w:r>
        <w:t>Le comité consultatif de la Plateforme canadienne de données de la SRAP a tenu sa 16</w:t>
      </w:r>
      <w:r>
        <w:rPr>
          <w:vertAlign w:val="superscript"/>
        </w:rPr>
        <w:t>e</w:t>
      </w:r>
      <w:r>
        <w:t> réunion en juin 2025. Les membres ont formulé des commentaires sur les points suivants : une séance spéciale réservée aux membres avec la firme d’évaluation sommative du RRDS Canada, Three Hive Consulting; les projets pilotes d’analyse distribuée; les lignes directrices pour les études de faisabilité et une mise à jour du groupe de travail sur les activités de mobilisation du grand public et le conseil consultatif public (CCP).</w:t>
      </w:r>
    </w:p>
    <w:p w14:paraId="2299FC79" w14:textId="77777777" w:rsidR="009F2F26" w:rsidRDefault="00000000">
      <w:pPr>
        <w:pStyle w:val="Heading3"/>
      </w:pPr>
      <w:bookmarkStart w:id="18" w:name="_heading=h.m48xxlsg4k65" w:colFirst="0" w:colLast="0"/>
      <w:bookmarkEnd w:id="18"/>
      <w:r>
        <w:t>Programme d’essais cliniques pragmatiques : avancement des protocoles des responsables d’essais</w:t>
      </w:r>
    </w:p>
    <w:p w14:paraId="08776DA6" w14:textId="77777777" w:rsidR="009F2F26" w:rsidRDefault="00000000">
      <w:pPr>
        <w:numPr>
          <w:ilvl w:val="0"/>
          <w:numId w:val="21"/>
        </w:numPr>
        <w:spacing w:after="0"/>
      </w:pPr>
      <w:r>
        <w:t>Plus de 20 responsables d’essais ont soumis des ébauches de protocoles à l’équipe des essais cliniques pragmatiques pour examen par les pairs et d’autres responsables d’essais cliniques pragmatiques d’expérience. Plusieurs responsables ont profité de la date limite interne des ébauches de protocole pour se préparer à soumettre les demandes de subvention des IRSC cet automne. Les commentaires fournis renforceront leurs demandes de subvention.</w:t>
      </w:r>
    </w:p>
    <w:p w14:paraId="68B63BEA" w14:textId="77777777" w:rsidR="009F2F26" w:rsidRDefault="00000000">
      <w:pPr>
        <w:numPr>
          <w:ilvl w:val="0"/>
          <w:numId w:val="21"/>
        </w:numPr>
        <w:spacing w:after="200"/>
      </w:pPr>
      <w:r>
        <w:t>L’objectif est que tous les responsables d’essais cliniques disposent d’un protocole solide et prêt pour la recherche d’ici la fin de l’année 2. La soumission des ébauches de protocole de l’année 1 nous permet d’évaluer : 1) l’évolution des essais cliniques depuis la demande initiale; 2) l’intégration par les responsables des modules, des ressources et des enseignements du programme d’études au cours de l’année 1 et 3) les domaines d’intérêt pour l’année 2.</w:t>
      </w:r>
    </w:p>
    <w:p w14:paraId="32256C35" w14:textId="77777777" w:rsidR="009F2F26" w:rsidRDefault="00000000">
      <w:pPr>
        <w:pStyle w:val="Heading2"/>
        <w:tabs>
          <w:tab w:val="left" w:pos="461"/>
        </w:tabs>
        <w:rPr>
          <w:sz w:val="22"/>
          <w:szCs w:val="22"/>
        </w:rPr>
      </w:pPr>
      <w:bookmarkStart w:id="19" w:name="_heading=h.se25qo754yy7" w:colFirst="0" w:colLast="0"/>
      <w:bookmarkEnd w:id="19"/>
      <w:r>
        <w:lastRenderedPageBreak/>
        <w:t>Objectif 4 : Renforcer l’utilisation des données pour améliorer l’équité et soutenir la souveraineté des données dirigées par les peuples autochtones</w:t>
      </w:r>
    </w:p>
    <w:p w14:paraId="60B4EBD1" w14:textId="77777777" w:rsidR="009F2F26" w:rsidRDefault="00000000">
      <w:pPr>
        <w:pStyle w:val="Heading3"/>
        <w:tabs>
          <w:tab w:val="left" w:pos="461"/>
          <w:tab w:val="left" w:pos="461"/>
          <w:tab w:val="left" w:pos="461"/>
          <w:tab w:val="left" w:pos="461"/>
          <w:tab w:val="left" w:pos="461"/>
          <w:tab w:val="left" w:pos="461"/>
          <w:tab w:val="left" w:pos="461"/>
        </w:tabs>
      </w:pPr>
      <w:bookmarkStart w:id="20" w:name="_heading=h.6bbsrun98os4" w:colFirst="0" w:colLast="0"/>
      <w:bookmarkEnd w:id="20"/>
      <w:r>
        <w:t>Mise en œuvre des composants de la stratégie d’inclusion, diversité, équité et accessibilité (IDEA) dans notre plan stratégique</w:t>
      </w:r>
    </w:p>
    <w:p w14:paraId="17C7A478" w14:textId="77777777" w:rsidR="009F2F26" w:rsidRDefault="00000000">
      <w:pPr>
        <w:tabs>
          <w:tab w:val="left" w:pos="461"/>
          <w:tab w:val="left" w:pos="461"/>
          <w:tab w:val="left" w:pos="461"/>
          <w:tab w:val="left" w:pos="461"/>
          <w:tab w:val="left" w:pos="461"/>
          <w:tab w:val="left" w:pos="461"/>
          <w:tab w:val="left" w:pos="461"/>
        </w:tabs>
        <w:spacing w:after="0"/>
        <w:rPr>
          <w:b/>
          <w:bCs/>
        </w:rPr>
      </w:pPr>
      <w:r>
        <w:rPr>
          <w:b/>
          <w:bCs/>
        </w:rPr>
        <w:t>Stratégie IDEA 1 : apprendre/désapprendre</w:t>
      </w:r>
    </w:p>
    <w:p w14:paraId="60FD4684" w14:textId="77777777" w:rsidR="009F2F26" w:rsidRDefault="00000000">
      <w:pPr>
        <w:numPr>
          <w:ilvl w:val="0"/>
          <w:numId w:val="24"/>
        </w:numPr>
        <w:tabs>
          <w:tab w:val="left" w:pos="461"/>
          <w:tab w:val="left" w:pos="461"/>
          <w:tab w:val="left" w:pos="461"/>
          <w:tab w:val="left" w:pos="461"/>
          <w:tab w:val="left" w:pos="461"/>
          <w:tab w:val="left" w:pos="461"/>
          <w:tab w:val="left" w:pos="461"/>
        </w:tabs>
        <w:spacing w:after="0"/>
      </w:pPr>
      <w:r>
        <w:t>Le club de désapprentissage de la communauté de pratique a duré 12 mois et suscite toujours autant d’intérêt et de mobilisation. Il y a une volonté d’offrir cet apprentissage au CCP et de l’inclure dans le processus d’intégration du personnel du RRDS Canada.</w:t>
      </w:r>
    </w:p>
    <w:p w14:paraId="6F871542" w14:textId="77777777" w:rsidR="009F2F26" w:rsidRDefault="00000000">
      <w:pPr>
        <w:numPr>
          <w:ilvl w:val="0"/>
          <w:numId w:val="24"/>
        </w:numPr>
        <w:tabs>
          <w:tab w:val="left" w:pos="461"/>
          <w:tab w:val="left" w:pos="461"/>
          <w:tab w:val="left" w:pos="461"/>
          <w:tab w:val="left" w:pos="461"/>
          <w:tab w:val="left" w:pos="461"/>
          <w:tab w:val="left" w:pos="461"/>
          <w:tab w:val="left" w:pos="461"/>
        </w:tabs>
        <w:spacing w:after="0"/>
      </w:pPr>
      <w:r>
        <w:t>Un sondage d’évaluation des besoins a été préparé et sera distribué aux membres à l’automne.</w:t>
      </w:r>
    </w:p>
    <w:p w14:paraId="2C4786FB" w14:textId="77777777" w:rsidR="009F2F26" w:rsidRDefault="00000000">
      <w:pPr>
        <w:numPr>
          <w:ilvl w:val="0"/>
          <w:numId w:val="24"/>
        </w:numPr>
        <w:tabs>
          <w:tab w:val="left" w:pos="461"/>
          <w:tab w:val="left" w:pos="461"/>
          <w:tab w:val="left" w:pos="461"/>
          <w:tab w:val="left" w:pos="461"/>
          <w:tab w:val="left" w:pos="461"/>
          <w:tab w:val="left" w:pos="461"/>
          <w:tab w:val="left" w:pos="461"/>
        </w:tabs>
      </w:pPr>
      <w:r>
        <w:t>La sélection des compétences de base potentielles et leur perfectionnement se poursuivent.</w:t>
      </w:r>
    </w:p>
    <w:p w14:paraId="4F12045A" w14:textId="77777777" w:rsidR="009F2F26" w:rsidRDefault="00000000">
      <w:pPr>
        <w:tabs>
          <w:tab w:val="left" w:pos="461"/>
          <w:tab w:val="left" w:pos="461"/>
          <w:tab w:val="left" w:pos="461"/>
          <w:tab w:val="left" w:pos="461"/>
          <w:tab w:val="left" w:pos="461"/>
          <w:tab w:val="left" w:pos="461"/>
          <w:tab w:val="left" w:pos="461"/>
        </w:tabs>
        <w:spacing w:after="0"/>
        <w:rPr>
          <w:b/>
          <w:bCs/>
        </w:rPr>
      </w:pPr>
      <w:r>
        <w:rPr>
          <w:b/>
          <w:bCs/>
        </w:rPr>
        <w:t>Stratégie IDEA 2 : faciliter l’IDEA dans la recherche de données</w:t>
      </w:r>
    </w:p>
    <w:p w14:paraId="013DE13E" w14:textId="77777777" w:rsidR="009F2F26" w:rsidRDefault="00000000">
      <w:pPr>
        <w:numPr>
          <w:ilvl w:val="0"/>
          <w:numId w:val="8"/>
        </w:numPr>
        <w:tabs>
          <w:tab w:val="left" w:pos="461"/>
          <w:tab w:val="left" w:pos="461"/>
          <w:tab w:val="left" w:pos="461"/>
          <w:tab w:val="left" w:pos="461"/>
          <w:tab w:val="left" w:pos="461"/>
          <w:tab w:val="left" w:pos="461"/>
          <w:tab w:val="left" w:pos="461"/>
        </w:tabs>
        <w:spacing w:after="0"/>
      </w:pPr>
      <w:r>
        <w:t>Tout le réseau a participé à la cocréation de la première note d’information sur le DCP, fondée sur l’IDEA.</w:t>
      </w:r>
    </w:p>
    <w:p w14:paraId="3DF6B442" w14:textId="77777777" w:rsidR="009F2F26" w:rsidRDefault="00000000">
      <w:pPr>
        <w:numPr>
          <w:ilvl w:val="0"/>
          <w:numId w:val="8"/>
        </w:numPr>
        <w:tabs>
          <w:tab w:val="left" w:pos="461"/>
          <w:tab w:val="left" w:pos="461"/>
          <w:tab w:val="left" w:pos="461"/>
          <w:tab w:val="left" w:pos="461"/>
          <w:tab w:val="left" w:pos="461"/>
          <w:tab w:val="left" w:pos="461"/>
          <w:tab w:val="left" w:pos="461"/>
        </w:tabs>
        <w:spacing w:after="0"/>
      </w:pPr>
      <w:r>
        <w:t>La structure de la deuxième note d’information sur les modèles de données communs est en cours d’élaboration et des consultations débuteront prochainement.</w:t>
      </w:r>
    </w:p>
    <w:p w14:paraId="3C6E0C50" w14:textId="77777777" w:rsidR="009F2F26" w:rsidRDefault="00000000">
      <w:pPr>
        <w:numPr>
          <w:ilvl w:val="0"/>
          <w:numId w:val="8"/>
        </w:numPr>
        <w:tabs>
          <w:tab w:val="left" w:pos="461"/>
          <w:tab w:val="left" w:pos="461"/>
          <w:tab w:val="left" w:pos="461"/>
          <w:tab w:val="left" w:pos="461"/>
          <w:tab w:val="left" w:pos="461"/>
          <w:tab w:val="left" w:pos="461"/>
          <w:tab w:val="left" w:pos="461"/>
        </w:tabs>
      </w:pPr>
      <w:r>
        <w:t>L’équipe IDEA a présenté à l’ACRSPS une affiche bien accueillie sur les considérations liées à l’intégration de l’IDEA dans les projets d’infrastructure de données administratives.</w:t>
      </w:r>
    </w:p>
    <w:p w14:paraId="64DB312D" w14:textId="77777777" w:rsidR="009F2F26" w:rsidRDefault="00000000">
      <w:pPr>
        <w:tabs>
          <w:tab w:val="left" w:pos="461"/>
          <w:tab w:val="left" w:pos="461"/>
          <w:tab w:val="left" w:pos="461"/>
          <w:tab w:val="left" w:pos="461"/>
          <w:tab w:val="left" w:pos="461"/>
          <w:tab w:val="left" w:pos="461"/>
          <w:tab w:val="left" w:pos="461"/>
        </w:tabs>
        <w:spacing w:after="0"/>
        <w:rPr>
          <w:b/>
          <w:bCs/>
        </w:rPr>
      </w:pPr>
      <w:r>
        <w:rPr>
          <w:b/>
          <w:bCs/>
        </w:rPr>
        <w:t>Stratégie IDEA 3 : cultiver la confiance et la réciprocité dans les partenariats communautaires</w:t>
      </w:r>
    </w:p>
    <w:p w14:paraId="47FA7C90" w14:textId="77777777" w:rsidR="009F2F26" w:rsidRDefault="00000000">
      <w:pPr>
        <w:numPr>
          <w:ilvl w:val="0"/>
          <w:numId w:val="15"/>
        </w:numPr>
        <w:tabs>
          <w:tab w:val="left" w:pos="461"/>
          <w:tab w:val="left" w:pos="461"/>
          <w:tab w:val="left" w:pos="461"/>
          <w:tab w:val="left" w:pos="461"/>
          <w:tab w:val="left" w:pos="461"/>
          <w:tab w:val="left" w:pos="461"/>
          <w:tab w:val="left" w:pos="461"/>
        </w:tabs>
        <w:spacing w:after="0"/>
      </w:pPr>
      <w:r>
        <w:t>Une analyse de l’environnement est en cours de préparation et sera distribuée à l’automne en même temps que le sondage d’évaluation des besoins.</w:t>
      </w:r>
    </w:p>
    <w:p w14:paraId="6F898BC2" w14:textId="77777777" w:rsidR="009F2F26" w:rsidRDefault="00000000">
      <w:pPr>
        <w:numPr>
          <w:ilvl w:val="0"/>
          <w:numId w:val="15"/>
        </w:numPr>
        <w:tabs>
          <w:tab w:val="left" w:pos="461"/>
          <w:tab w:val="left" w:pos="461"/>
          <w:tab w:val="left" w:pos="461"/>
          <w:tab w:val="left" w:pos="461"/>
          <w:tab w:val="left" w:pos="461"/>
          <w:tab w:val="left" w:pos="461"/>
          <w:tab w:val="left" w:pos="461"/>
        </w:tabs>
      </w:pPr>
      <w:r>
        <w:t>Les projets pilotes d’IDEA au niveau organisationnel sont intégrés dans les documents de proposition de projet du RRDS Canada et dans les processus du plan de travail de CAN-ASK.</w:t>
      </w:r>
    </w:p>
    <w:p w14:paraId="0AC37D74" w14:textId="77777777" w:rsidR="009F2F26" w:rsidRDefault="00000000">
      <w:pPr>
        <w:pStyle w:val="Heading3"/>
        <w:tabs>
          <w:tab w:val="left" w:pos="461"/>
          <w:tab w:val="left" w:pos="461"/>
          <w:tab w:val="left" w:pos="461"/>
          <w:tab w:val="left" w:pos="461"/>
          <w:tab w:val="left" w:pos="461"/>
          <w:tab w:val="left" w:pos="461"/>
          <w:tab w:val="left" w:pos="461"/>
        </w:tabs>
      </w:pPr>
      <w:bookmarkStart w:id="21" w:name="_heading=h.hddhrxcelm8t" w:colFirst="0" w:colLast="0"/>
      <w:bookmarkEnd w:id="21"/>
      <w:r>
        <w:lastRenderedPageBreak/>
        <w:t xml:space="preserve">La série de conférences </w:t>
      </w:r>
      <w:r>
        <w:rPr>
          <w:i/>
          <w:iCs/>
        </w:rPr>
        <w:t>De grandes idées sur les données de santé</w:t>
      </w:r>
      <w:r>
        <w:t xml:space="preserve"> attire les foules</w:t>
      </w:r>
    </w:p>
    <w:p w14:paraId="08B074E1" w14:textId="77777777" w:rsidR="009F2F26" w:rsidRDefault="00000000">
      <w:pPr>
        <w:numPr>
          <w:ilvl w:val="0"/>
          <w:numId w:val="9"/>
        </w:numPr>
        <w:tabs>
          <w:tab w:val="left" w:pos="461"/>
          <w:tab w:val="left" w:pos="461"/>
          <w:tab w:val="left" w:pos="461"/>
          <w:tab w:val="left" w:pos="461"/>
          <w:tab w:val="left" w:pos="461"/>
          <w:tab w:val="left" w:pos="461"/>
          <w:tab w:val="left" w:pos="461"/>
        </w:tabs>
      </w:pPr>
      <w:r>
        <w:t xml:space="preserve">La deuxième année de la série </w:t>
      </w:r>
      <w:hyperlink r:id="rId9">
        <w:r>
          <w:rPr>
            <w:i/>
            <w:iCs/>
            <w:color w:val="1155CC"/>
            <w:u w:val="single"/>
          </w:rPr>
          <w:t>De grandes idées sur les données de santé</w:t>
        </w:r>
      </w:hyperlink>
      <w:r>
        <w:t xml:space="preserve"> s’est achevée par une conférence très suivie sur la souveraineté des données autochtones et relatives à la race qui a réuni 300 participants en direct et plus de 700 inscriptions. Sur YouTube, la série compte plus de 3 000 vues à ce jour.</w:t>
      </w:r>
    </w:p>
    <w:p w14:paraId="748095E1" w14:textId="77777777" w:rsidR="009F2F26" w:rsidRDefault="00000000">
      <w:pPr>
        <w:tabs>
          <w:tab w:val="left" w:pos="461"/>
          <w:tab w:val="left" w:pos="461"/>
          <w:tab w:val="left" w:pos="461"/>
          <w:tab w:val="left" w:pos="461"/>
          <w:tab w:val="left" w:pos="461"/>
          <w:tab w:val="left" w:pos="461"/>
          <w:tab w:val="left" w:pos="461"/>
        </w:tabs>
        <w:spacing w:after="0"/>
        <w:rPr>
          <w:rFonts w:ascii="Lato" w:eastAsia="Lato" w:hAnsi="Lato" w:cs="Lato"/>
          <w:color w:val="006A78"/>
          <w:sz w:val="28"/>
          <w:szCs w:val="28"/>
        </w:rPr>
      </w:pPr>
      <w:r>
        <w:rPr>
          <w:rFonts w:ascii="Lato" w:eastAsia="Lato" w:hAnsi="Lato" w:cs="Lato"/>
          <w:color w:val="006A78"/>
          <w:sz w:val="28"/>
          <w:szCs w:val="28"/>
        </w:rPr>
        <w:t>L’intérêt croissant pour le contenu du club de désapprentissage sur l’IDEA du RRDS Canada</w:t>
      </w:r>
    </w:p>
    <w:p w14:paraId="0402D725" w14:textId="77777777" w:rsidR="009F2F26" w:rsidRDefault="00000000">
      <w:pPr>
        <w:numPr>
          <w:ilvl w:val="0"/>
          <w:numId w:val="26"/>
        </w:numPr>
        <w:tabs>
          <w:tab w:val="left" w:pos="461"/>
          <w:tab w:val="left" w:pos="461"/>
          <w:tab w:val="left" w:pos="461"/>
          <w:tab w:val="left" w:pos="461"/>
          <w:tab w:val="left" w:pos="461"/>
          <w:tab w:val="left" w:pos="461"/>
          <w:tab w:val="left" w:pos="461"/>
        </w:tabs>
      </w:pPr>
      <w:r>
        <w:t>Tant au club de désapprentissage que lors du partage de contenu aux conférences, il y a un intérêt croissant pour aller au-delà de la communauté de pratique sur l’IDEA. Le programme d’apprentissage peaufiné sera publié sur notre site Web, et des minimodules créés conjointement suivront. C’est la première étape pour créer un module d’apprentissage asynchrone sur l’IDEA dans les données administratives.</w:t>
      </w:r>
    </w:p>
    <w:p w14:paraId="7C046A66" w14:textId="77777777" w:rsidR="009F2F26" w:rsidRDefault="00000000">
      <w:pPr>
        <w:pStyle w:val="Heading2"/>
        <w:tabs>
          <w:tab w:val="left" w:pos="461"/>
        </w:tabs>
      </w:pPr>
      <w:bookmarkStart w:id="22" w:name="_heading=h.921wtdw5cc4a" w:colFirst="0" w:colLast="0"/>
      <w:bookmarkEnd w:id="22"/>
      <w:r>
        <w:t>Objectif 5 : Assurer une participation publique et communautaire intentionnelle et continue</w:t>
      </w:r>
    </w:p>
    <w:p w14:paraId="5072C197" w14:textId="77777777" w:rsidR="009F2F26" w:rsidRDefault="00000000">
      <w:pPr>
        <w:pStyle w:val="Heading3"/>
      </w:pPr>
      <w:bookmarkStart w:id="23" w:name="_heading=h.76te1qgpsmx4" w:colFirst="0" w:colLast="0"/>
      <w:bookmarkEnd w:id="23"/>
      <w:r>
        <w:t xml:space="preserve">Article de référence sur la confiance du public et la littératie des données </w:t>
      </w:r>
    </w:p>
    <w:p w14:paraId="5D79A57B" w14:textId="77777777" w:rsidR="009F2F26" w:rsidRDefault="00000000">
      <w:pPr>
        <w:numPr>
          <w:ilvl w:val="0"/>
          <w:numId w:val="4"/>
        </w:numPr>
        <w:spacing w:after="0"/>
      </w:pPr>
      <w:r>
        <w:t>La diffusion et le suivi de l’article de référence sur la confiance du public et la littératie des données en collaboration avec l’Agence de santé publique du Canada (ASPC) sont en cours.</w:t>
      </w:r>
    </w:p>
    <w:p w14:paraId="1ECE418B" w14:textId="77777777" w:rsidR="009F2F26" w:rsidRDefault="00000000">
      <w:pPr>
        <w:numPr>
          <w:ilvl w:val="1"/>
          <w:numId w:val="4"/>
        </w:numPr>
        <w:spacing w:after="0"/>
      </w:pPr>
      <w:r>
        <w:t>Pour l’instant, la diffusion de l’article (portant sur les six recommandations pour des pratiques de données fiables) comprend un webinaire public et une présentation orale lors de la conférence 2025 de l’ACRSPS.</w:t>
      </w:r>
    </w:p>
    <w:p w14:paraId="69B52D83" w14:textId="77777777" w:rsidR="009F2F26" w:rsidRDefault="00000000">
      <w:pPr>
        <w:numPr>
          <w:ilvl w:val="0"/>
          <w:numId w:val="4"/>
        </w:numPr>
        <w:spacing w:after="200"/>
      </w:pPr>
      <w:r>
        <w:t>Le travail de suivi prévu comprend une publication soumise à une revue à comité de lecture (deux membres du CCP feront partie de l’équipe de rédaction) et un webinaire ou une présentation conjointe avec d’autres partenaires clés de l’initiative de l’ASPC sur la confiance du public et la littératie des données.</w:t>
      </w:r>
    </w:p>
    <w:p w14:paraId="669FE762" w14:textId="77777777" w:rsidR="009F2F26" w:rsidRDefault="00000000">
      <w:pPr>
        <w:spacing w:after="0"/>
        <w:rPr>
          <w:rFonts w:ascii="Lato" w:eastAsia="Lato" w:hAnsi="Lato" w:cs="Lato"/>
          <w:color w:val="006A78"/>
          <w:sz w:val="28"/>
          <w:szCs w:val="28"/>
        </w:rPr>
      </w:pPr>
      <w:r>
        <w:br w:type="page"/>
      </w:r>
    </w:p>
    <w:p w14:paraId="1F7C90EA" w14:textId="77777777" w:rsidR="009F2F26" w:rsidRDefault="00000000">
      <w:pPr>
        <w:spacing w:after="0"/>
        <w:rPr>
          <w:rFonts w:ascii="Lato" w:eastAsia="Lato" w:hAnsi="Lato" w:cs="Lato"/>
          <w:color w:val="006A78"/>
          <w:sz w:val="28"/>
          <w:szCs w:val="28"/>
        </w:rPr>
      </w:pPr>
      <w:r>
        <w:rPr>
          <w:rFonts w:ascii="Lato" w:eastAsia="Lato" w:hAnsi="Lato" w:cs="Lato"/>
          <w:color w:val="006A78"/>
          <w:sz w:val="28"/>
          <w:szCs w:val="28"/>
        </w:rPr>
        <w:lastRenderedPageBreak/>
        <w:t>Forte participation du CCP</w:t>
      </w:r>
    </w:p>
    <w:p w14:paraId="08D03395" w14:textId="77777777" w:rsidR="009F2F26" w:rsidRDefault="00000000">
      <w:pPr>
        <w:numPr>
          <w:ilvl w:val="0"/>
          <w:numId w:val="18"/>
        </w:numPr>
        <w:spacing w:after="0"/>
      </w:pPr>
      <w:r>
        <w:t>Le RRDS Canada a organisé une réunion en personne à laquelle ont assisté presque tous les membres du CCP sauf deux. Parmi les principaux points à l’ordre du jour figuraient la participation à l’évaluation sommative du RRDS Canada et l’établissement des priorités.</w:t>
      </w:r>
    </w:p>
    <w:p w14:paraId="3657950D" w14:textId="77777777" w:rsidR="009F2F26" w:rsidRDefault="00000000">
      <w:pPr>
        <w:numPr>
          <w:ilvl w:val="0"/>
          <w:numId w:val="18"/>
        </w:numPr>
        <w:spacing w:after="0"/>
      </w:pPr>
      <w:r>
        <w:t>Les priorités du CCP ont été définies lors de cette réunion et la planification des actions pour l’année à venir a commencé. Les priorités comprennent une participation significative aux prochaines demandes de financement, l’accès du secteur privé aux données sur la santé ainsi que l’IDEA.</w:t>
      </w:r>
    </w:p>
    <w:p w14:paraId="58FDD6DB" w14:textId="77777777" w:rsidR="009F2F26" w:rsidRDefault="00000000">
      <w:pPr>
        <w:numPr>
          <w:ilvl w:val="0"/>
          <w:numId w:val="18"/>
        </w:numPr>
        <w:spacing w:after="0"/>
      </w:pPr>
      <w:r>
        <w:t>Le président du CCP était ravi de rencontrer les membres du conseil lors de leur réunion en mai. Il a précisé que leurs conseils et commentaires sont les bienvenus. En collaboration avec l’équipe de mobilisation des patients, le CCP étudie actuellement les moyens d’améliorer les activités de promotion des intérêts et de mobilisation.</w:t>
      </w:r>
    </w:p>
    <w:p w14:paraId="1D28862C" w14:textId="77777777" w:rsidR="009F2F26" w:rsidRDefault="00000000">
      <w:pPr>
        <w:numPr>
          <w:ilvl w:val="0"/>
          <w:numId w:val="18"/>
        </w:numPr>
        <w:spacing w:after="200"/>
      </w:pPr>
      <w:r>
        <w:t>Un manque de représentation des territoires au CCP a été relevé, et des efforts ciblés sont menés pour recruter un ou deux membres de cette région.</w:t>
      </w:r>
    </w:p>
    <w:p w14:paraId="36B00E11" w14:textId="77777777" w:rsidR="009F2F26" w:rsidRDefault="00000000">
      <w:pPr>
        <w:spacing w:after="0"/>
        <w:rPr>
          <w:rFonts w:ascii="Lato" w:eastAsia="Lato" w:hAnsi="Lato" w:cs="Lato"/>
          <w:color w:val="006A78"/>
          <w:sz w:val="28"/>
          <w:szCs w:val="28"/>
        </w:rPr>
      </w:pPr>
      <w:r>
        <w:rPr>
          <w:rFonts w:ascii="Lato" w:eastAsia="Lato" w:hAnsi="Lato" w:cs="Lato"/>
          <w:color w:val="006A78"/>
          <w:sz w:val="28"/>
          <w:szCs w:val="28"/>
        </w:rPr>
        <w:t>Développement de produits de communication liés aux principales initiatives de mobilisation des patients</w:t>
      </w:r>
    </w:p>
    <w:p w14:paraId="1B1871FA" w14:textId="77777777" w:rsidR="009F2F26" w:rsidRDefault="00000000">
      <w:pPr>
        <w:numPr>
          <w:ilvl w:val="0"/>
          <w:numId w:val="6"/>
        </w:numPr>
        <w:spacing w:after="0"/>
      </w:pPr>
      <w:r>
        <w:t>Les membres du CCP continuent les progrès significatifs dans l’élaboration d’un glossaire en langage clair des termes liés aux données de santé. Il existe un plan de communication pour ce travail (messages sur les médias sociaux, courtes vidéos et images), et notre objectif est de le diffuser en octobre à l’occasion du mois de la littératie en santé.</w:t>
      </w:r>
    </w:p>
    <w:p w14:paraId="13D94875" w14:textId="77777777" w:rsidR="009F2F26" w:rsidRDefault="00000000">
      <w:pPr>
        <w:numPr>
          <w:ilvl w:val="0"/>
          <w:numId w:val="6"/>
        </w:numPr>
        <w:spacing w:after="200"/>
      </w:pPr>
      <w:r>
        <w:t xml:space="preserve">Trois publications prévues résumant le travail de légitimité sociale des données de santé entrepris en collaboration avec le Population Health Research Network d’Australie sont presque finalisées (deux publications en langage clair préparées pour </w:t>
      </w:r>
      <w:r>
        <w:rPr>
          <w:i/>
          <w:iCs/>
        </w:rPr>
        <w:t>The Conversation</w:t>
      </w:r>
      <w:r>
        <w:t xml:space="preserve"> et un article de recherche pour les </w:t>
      </w:r>
      <w:r>
        <w:rPr>
          <w:i/>
          <w:iCs/>
        </w:rPr>
        <w:t>International Journals of Population Data Science)</w:t>
      </w:r>
      <w:r>
        <w:t>, l’objectif étant de les soumettre à l’été 2025.</w:t>
      </w:r>
    </w:p>
    <w:p w14:paraId="11BD72AB" w14:textId="77777777" w:rsidR="009F2F26" w:rsidRDefault="00000000">
      <w:pPr>
        <w:pStyle w:val="Heading3"/>
        <w:rPr>
          <w:i/>
          <w:iCs/>
        </w:rPr>
      </w:pPr>
      <w:bookmarkStart w:id="24" w:name="_heading=h.quudyhc2j1nf" w:colFirst="0" w:colLast="0"/>
      <w:bookmarkEnd w:id="24"/>
      <w:r>
        <w:rPr>
          <w:i/>
          <w:iCs/>
        </w:rPr>
        <w:lastRenderedPageBreak/>
        <w:t>Forum public Des données de santé pour toutes et tous : un dialogue public sur le rôle de l’intelligence artificielle (IA) dans la santé</w:t>
      </w:r>
    </w:p>
    <w:p w14:paraId="2BE4CC82" w14:textId="77777777" w:rsidR="009F2F26" w:rsidRDefault="00000000">
      <w:pPr>
        <w:numPr>
          <w:ilvl w:val="0"/>
          <w:numId w:val="11"/>
        </w:numPr>
        <w:spacing w:after="200"/>
      </w:pPr>
      <w:r>
        <w:t>Le troisième forum public du RRDS Canada a connu un énorme succès avec 119 participants en personne, y compris des représentants des IRSC, et 1 398 personnes inscrites pour participer en ligne (dont plus de 450 ont rejoint le forum tout au long de la journée).</w:t>
      </w:r>
    </w:p>
    <w:p w14:paraId="03866E86" w14:textId="77777777" w:rsidR="009F2F26" w:rsidRDefault="00000000">
      <w:pPr>
        <w:pStyle w:val="Heading3"/>
      </w:pPr>
      <w:bookmarkStart w:id="25" w:name="_heading=h.6tc5ct7egspk" w:colFirst="0" w:colLast="0"/>
      <w:bookmarkEnd w:id="25"/>
      <w:r>
        <w:t>Soutien continu du groupe de travail sur les activités de mobilisation du grand public (GT AMGP) auprès du CCP et pour toutes les initiatives majeures de mobilisation du public</w:t>
      </w:r>
    </w:p>
    <w:p w14:paraId="574AAF3E" w14:textId="77777777" w:rsidR="009F2F26" w:rsidRDefault="00000000">
      <w:pPr>
        <w:numPr>
          <w:ilvl w:val="0"/>
          <w:numId w:val="22"/>
        </w:numPr>
        <w:spacing w:after="0"/>
      </w:pPr>
      <w:r>
        <w:t>Ce soutien comprend l’élaboration d’une boîte à outils pour aider les centres de données à mettre en place leurs propres conseils consultatifs, ce qui correspond à l’objectif de renforcement des capacités défini dans la stratégie de mobilisation du public.</w:t>
      </w:r>
    </w:p>
    <w:p w14:paraId="6731CFF0" w14:textId="77777777" w:rsidR="009F2F26" w:rsidRDefault="00000000">
      <w:pPr>
        <w:numPr>
          <w:ilvl w:val="0"/>
          <w:numId w:val="22"/>
        </w:numPr>
        <w:spacing w:after="200"/>
      </w:pPr>
      <w:r>
        <w:t>Pour dynamiser le GT AMGP, nous avons revu la structure des réunions : les réunions ont lieu une fois par mois plutôt qu’à tous les deux mois, et il y a une plus grande collaboration dans l’établissement de l’ordre du jour et la présidence des réunions par l’ensemble des membres.</w:t>
      </w:r>
    </w:p>
    <w:p w14:paraId="7D031209" w14:textId="77777777" w:rsidR="009F2F26" w:rsidRDefault="00000000">
      <w:pPr>
        <w:pStyle w:val="Heading2"/>
        <w:tabs>
          <w:tab w:val="left" w:pos="461"/>
        </w:tabs>
        <w:rPr>
          <w:sz w:val="22"/>
          <w:szCs w:val="22"/>
        </w:rPr>
      </w:pPr>
      <w:bookmarkStart w:id="26" w:name="_heading=h.qds3zqn69y2x" w:colFirst="0" w:colLast="0"/>
      <w:bookmarkEnd w:id="26"/>
      <w:r>
        <w:t>Facteur de réussite : un réseau cohésif avec des activités efficaces et durables</w:t>
      </w:r>
    </w:p>
    <w:p w14:paraId="79D7DA07" w14:textId="77777777" w:rsidR="009F2F26" w:rsidRDefault="00000000">
      <w:pPr>
        <w:pStyle w:val="Heading3"/>
        <w:tabs>
          <w:tab w:val="left" w:pos="461"/>
          <w:tab w:val="left" w:pos="461"/>
          <w:tab w:val="left" w:pos="461"/>
          <w:tab w:val="left" w:pos="461"/>
          <w:tab w:val="left" w:pos="461"/>
          <w:tab w:val="left" w:pos="461"/>
          <w:tab w:val="left" w:pos="461"/>
        </w:tabs>
      </w:pPr>
      <w:bookmarkStart w:id="27" w:name="_heading=h.7qch94254est" w:colFirst="0" w:colLast="0"/>
      <w:bookmarkEnd w:id="27"/>
      <w:r>
        <w:t>Ébauche de l’évaluation sommative fournie</w:t>
      </w:r>
    </w:p>
    <w:p w14:paraId="68D43AFF" w14:textId="77777777" w:rsidR="009F2F26" w:rsidRDefault="00000000">
      <w:pPr>
        <w:numPr>
          <w:ilvl w:val="0"/>
          <w:numId w:val="19"/>
        </w:numPr>
        <w:spacing w:after="0"/>
      </w:pPr>
      <w:r>
        <w:t>Les évaluateurs externes ont préparé une ébauche du rapport d’évaluation sommative pour le RRDS Canada, et les commentaires du réseau sont utilisés pour parfaire le rapport. Le réseau examinera attentivement les recommandations découlant du rapport d’évaluation final afin de déterminer les mesures concrètes à prendre pour s’améliorer.</w:t>
      </w:r>
    </w:p>
    <w:p w14:paraId="30E83D9A" w14:textId="77777777" w:rsidR="009F2F26" w:rsidRDefault="00000000">
      <w:pPr>
        <w:pStyle w:val="Heading3"/>
        <w:tabs>
          <w:tab w:val="left" w:pos="461"/>
          <w:tab w:val="left" w:pos="461"/>
          <w:tab w:val="left" w:pos="461"/>
          <w:tab w:val="left" w:pos="461"/>
          <w:tab w:val="left" w:pos="461"/>
          <w:tab w:val="left" w:pos="461"/>
          <w:tab w:val="left" w:pos="461"/>
        </w:tabs>
      </w:pPr>
      <w:bookmarkStart w:id="28" w:name="_heading=h.onjyrvp7xi14" w:colFirst="0" w:colLast="0"/>
      <w:bookmarkEnd w:id="28"/>
      <w:r>
        <w:t>Connexion, communication et collaboration</w:t>
      </w:r>
    </w:p>
    <w:p w14:paraId="5890052D" w14:textId="77777777" w:rsidR="009F2F26" w:rsidRDefault="00000000">
      <w:pPr>
        <w:numPr>
          <w:ilvl w:val="0"/>
          <w:numId w:val="19"/>
        </w:numPr>
        <w:spacing w:after="0"/>
      </w:pPr>
      <w:r>
        <w:t xml:space="preserve">Une réunion en personne de deux jours des groupes de travail et des équipes est prévue à Montréal en octobre 2025. Ce sera une excellente occasion pour les groupes de travail et </w:t>
      </w:r>
      <w:r>
        <w:lastRenderedPageBreak/>
        <w:t>les équipes de discuter de priorités et de projets transversaux. Cette activité a été couronnée de succès par le passé en permettant de tisser des liens solides, d’améliorer les communications et de stimuler la productivité du réseau.</w:t>
      </w:r>
    </w:p>
    <w:p w14:paraId="28236D16" w14:textId="77777777" w:rsidR="009F2F26" w:rsidRDefault="00000000">
      <w:pPr>
        <w:numPr>
          <w:ilvl w:val="0"/>
          <w:numId w:val="19"/>
        </w:numPr>
        <w:spacing w:after="200"/>
      </w:pPr>
      <w:r>
        <w:t xml:space="preserve">L’équipe de communication du RRDS Canada a lancé deux nouvelles éditions du bulletin d’information externe </w:t>
      </w:r>
      <w:r>
        <w:rPr>
          <w:i/>
          <w:iCs/>
        </w:rPr>
        <w:t>Points de données</w:t>
      </w:r>
      <w:r>
        <w:t xml:space="preserve"> (</w:t>
      </w:r>
      <w:hyperlink r:id="rId10">
        <w:r>
          <w:rPr>
            <w:color w:val="1155CC"/>
            <w:u w:val="single"/>
          </w:rPr>
          <w:t>mai</w:t>
        </w:r>
      </w:hyperlink>
      <w:r>
        <w:t xml:space="preserve"> et </w:t>
      </w:r>
      <w:hyperlink r:id="rId11">
        <w:r>
          <w:rPr>
            <w:color w:val="1155CC"/>
            <w:u w:val="single"/>
          </w:rPr>
          <w:t>juin</w:t>
        </w:r>
      </w:hyperlink>
      <w:r>
        <w:t>) et les éditions du bulletin d’information interne du RRDS Canada afin de promouvoir la communication au sein du réseau.</w:t>
      </w:r>
    </w:p>
    <w:p w14:paraId="721CA162" w14:textId="77777777" w:rsidR="009F2F26" w:rsidRDefault="00000000">
      <w:pPr>
        <w:pStyle w:val="Heading2"/>
        <w:tabs>
          <w:tab w:val="left" w:pos="461"/>
        </w:tabs>
      </w:pPr>
      <w:bookmarkStart w:id="29" w:name="_heading=h.hwpyv566j5at" w:colFirst="0" w:colLast="0"/>
      <w:bookmarkEnd w:id="29"/>
      <w:r>
        <w:t>Facteur de réussite : un écosystème législatif et stratégique favorable et engagé et une communauté d’utilisateurs de données active</w:t>
      </w:r>
    </w:p>
    <w:p w14:paraId="4F6815E0" w14:textId="77777777" w:rsidR="009F2F26" w:rsidRDefault="00000000">
      <w:pPr>
        <w:pStyle w:val="Heading3"/>
        <w:tabs>
          <w:tab w:val="left" w:pos="461"/>
          <w:tab w:val="left" w:pos="461"/>
          <w:tab w:val="left" w:pos="461"/>
          <w:tab w:val="left" w:pos="461"/>
          <w:tab w:val="left" w:pos="461"/>
          <w:tab w:val="left" w:pos="461"/>
          <w:tab w:val="left" w:pos="461"/>
        </w:tabs>
      </w:pPr>
      <w:bookmarkStart w:id="30" w:name="_heading=h.4fhnv4o9tlot" w:colFirst="0" w:colLast="0"/>
      <w:bookmarkEnd w:id="30"/>
      <w:r>
        <w:t>Mise à jour sur l’initiative pancanadienne CAN-ASK (service d’analyse de données pour les utilisateurs de connaissances)</w:t>
      </w:r>
    </w:p>
    <w:p w14:paraId="671C1428" w14:textId="77777777" w:rsidR="009F2F26" w:rsidRDefault="00000000">
      <w:pPr>
        <w:numPr>
          <w:ilvl w:val="0"/>
          <w:numId w:val="14"/>
        </w:numPr>
        <w:tabs>
          <w:tab w:val="left" w:pos="461"/>
          <w:tab w:val="left" w:pos="461"/>
          <w:tab w:val="left" w:pos="461"/>
          <w:tab w:val="left" w:pos="461"/>
          <w:tab w:val="left" w:pos="461"/>
          <w:tab w:val="left" w:pos="461"/>
          <w:tab w:val="left" w:pos="461"/>
        </w:tabs>
        <w:spacing w:after="0"/>
      </w:pPr>
      <w:r>
        <w:t>Un comité directeur de la mise en œuvre de CAN-ASK et quatre équipes tactiques ont été constitués et ont tenu des réunions de lancement. Le comité directeur se réunira tous les trimestres pour coordonner les activités de mise en œuvre, fournir une orientation stratégique et guider les progrès généraux. Les équipes tactiques sont réparties selon les objectifs suivants :</w:t>
      </w:r>
    </w:p>
    <w:p w14:paraId="3B3E1DF2" w14:textId="77777777" w:rsidR="009F2F26" w:rsidRDefault="00000000">
      <w:pPr>
        <w:numPr>
          <w:ilvl w:val="1"/>
          <w:numId w:val="14"/>
        </w:numPr>
        <w:tabs>
          <w:tab w:val="left" w:pos="461"/>
          <w:tab w:val="left" w:pos="461"/>
          <w:tab w:val="left" w:pos="461"/>
          <w:tab w:val="left" w:pos="461"/>
          <w:tab w:val="left" w:pos="461"/>
          <w:tab w:val="left" w:pos="461"/>
          <w:tab w:val="left" w:pos="461"/>
        </w:tabs>
        <w:spacing w:after="0"/>
      </w:pPr>
      <w:r>
        <w:t>Établissement des coûts, marchés et financement : parfaire les modèles d’établissement des coûts et soutenir des approches rationalisées de passation de marchés et de financement.</w:t>
      </w:r>
    </w:p>
    <w:p w14:paraId="590F9777" w14:textId="77777777" w:rsidR="009F2F26" w:rsidRDefault="00000000">
      <w:pPr>
        <w:numPr>
          <w:ilvl w:val="1"/>
          <w:numId w:val="14"/>
        </w:numPr>
        <w:tabs>
          <w:tab w:val="left" w:pos="461"/>
          <w:tab w:val="left" w:pos="461"/>
          <w:tab w:val="left" w:pos="461"/>
          <w:tab w:val="left" w:pos="461"/>
          <w:tab w:val="left" w:pos="461"/>
          <w:tab w:val="left" w:pos="461"/>
          <w:tab w:val="left" w:pos="461"/>
        </w:tabs>
        <w:spacing w:after="0"/>
      </w:pPr>
      <w:r>
        <w:t>Mobilisation : diriger la promotion des services, la communication et les activités de mobilisation des clients et du grand public.</w:t>
      </w:r>
    </w:p>
    <w:p w14:paraId="4632A62B" w14:textId="77777777" w:rsidR="009F2F26" w:rsidRDefault="00000000">
      <w:pPr>
        <w:numPr>
          <w:ilvl w:val="1"/>
          <w:numId w:val="14"/>
        </w:numPr>
        <w:tabs>
          <w:tab w:val="left" w:pos="461"/>
          <w:tab w:val="left" w:pos="461"/>
          <w:tab w:val="left" w:pos="461"/>
          <w:tab w:val="left" w:pos="461"/>
          <w:tab w:val="left" w:pos="461"/>
          <w:tab w:val="left" w:pos="461"/>
          <w:tab w:val="left" w:pos="461"/>
        </w:tabs>
        <w:spacing w:after="0"/>
      </w:pPr>
      <w:r>
        <w:t>Procédures et outils opérationnels : concevoir des procédures et des outils standardisés conformes au cycle de vie des projets.</w:t>
      </w:r>
    </w:p>
    <w:p w14:paraId="201D95B7" w14:textId="77777777" w:rsidR="009F2F26" w:rsidRDefault="00000000">
      <w:pPr>
        <w:numPr>
          <w:ilvl w:val="1"/>
          <w:numId w:val="14"/>
        </w:numPr>
        <w:tabs>
          <w:tab w:val="left" w:pos="461"/>
          <w:tab w:val="left" w:pos="461"/>
          <w:tab w:val="left" w:pos="461"/>
          <w:tab w:val="left" w:pos="461"/>
          <w:tab w:val="left" w:pos="461"/>
          <w:tab w:val="left" w:pos="461"/>
          <w:tab w:val="left" w:pos="461"/>
        </w:tabs>
        <w:spacing w:after="0"/>
      </w:pPr>
      <w:r>
        <w:t>Garanties pour le secteur privé : mettre la dernière main aux garanties et aux principes pour un engagement responsable avec le secteur privé.</w:t>
      </w:r>
    </w:p>
    <w:p w14:paraId="2A055C02" w14:textId="77777777" w:rsidR="009F2F26" w:rsidRDefault="00000000">
      <w:pPr>
        <w:numPr>
          <w:ilvl w:val="0"/>
          <w:numId w:val="14"/>
        </w:numPr>
        <w:tabs>
          <w:tab w:val="left" w:pos="461"/>
          <w:tab w:val="left" w:pos="461"/>
          <w:tab w:val="left" w:pos="461"/>
          <w:tab w:val="left" w:pos="461"/>
          <w:tab w:val="left" w:pos="461"/>
          <w:tab w:val="left" w:pos="461"/>
          <w:tab w:val="left" w:pos="461"/>
        </w:tabs>
        <w:spacing w:after="0"/>
      </w:pPr>
      <w:r>
        <w:t xml:space="preserve">Nous avons reçu quatre formulaires d’admission et réalisé trois évaluations de faisabilité préliminaires de projets CAN-ASK potentiels pour divers clients des secteurs public et privé. L’Agence des médicaments du Canada (AMC) a une demande </w:t>
      </w:r>
      <w:r>
        <w:lastRenderedPageBreak/>
        <w:t>confirmée du projet Suivi et évaluation du diabète et de la contraception qui ira à la passation de marchés.</w:t>
      </w:r>
    </w:p>
    <w:p w14:paraId="2AA779FE" w14:textId="77777777" w:rsidR="009F2F26" w:rsidRDefault="00000000">
      <w:pPr>
        <w:numPr>
          <w:ilvl w:val="0"/>
          <w:numId w:val="14"/>
        </w:numPr>
        <w:tabs>
          <w:tab w:val="left" w:pos="461"/>
          <w:tab w:val="left" w:pos="461"/>
          <w:tab w:val="left" w:pos="461"/>
          <w:tab w:val="left" w:pos="461"/>
          <w:tab w:val="left" w:pos="461"/>
          <w:tab w:val="left" w:pos="461"/>
          <w:tab w:val="left" w:pos="461"/>
        </w:tabs>
        <w:spacing w:after="0"/>
      </w:pPr>
      <w:r>
        <w:t>Enjeux et risques</w:t>
      </w:r>
    </w:p>
    <w:p w14:paraId="75FFC0C3" w14:textId="77777777" w:rsidR="009F2F26" w:rsidRDefault="00000000">
      <w:pPr>
        <w:numPr>
          <w:ilvl w:val="1"/>
          <w:numId w:val="14"/>
        </w:numPr>
        <w:tabs>
          <w:tab w:val="left" w:pos="461"/>
          <w:tab w:val="left" w:pos="461"/>
          <w:tab w:val="left" w:pos="461"/>
          <w:tab w:val="left" w:pos="461"/>
          <w:tab w:val="left" w:pos="461"/>
          <w:tab w:val="left" w:pos="461"/>
          <w:tab w:val="left" w:pos="461"/>
        </w:tabs>
        <w:spacing w:after="0"/>
      </w:pPr>
      <w:r>
        <w:t>Des études de faisabilité et des estimations de coûts ont été réalisées pour plusieurs clients potentiels de CAN-ASK, mais seule l’AMC est passée à l’étape de la passation de marchés. L’une des explications possibles est que l’estimation des coûts varie considérablement d’un centre de données à l’autre, ce qui rend le devis du client potentiellement prohibitif pour les projets multirégionaux.</w:t>
      </w:r>
    </w:p>
    <w:p w14:paraId="6F930195" w14:textId="77777777" w:rsidR="009F2F26" w:rsidRDefault="00000000">
      <w:pPr>
        <w:numPr>
          <w:ilvl w:val="1"/>
          <w:numId w:val="14"/>
        </w:numPr>
        <w:tabs>
          <w:tab w:val="left" w:pos="461"/>
          <w:tab w:val="left" w:pos="461"/>
          <w:tab w:val="left" w:pos="461"/>
          <w:tab w:val="left" w:pos="461"/>
          <w:tab w:val="left" w:pos="461"/>
          <w:tab w:val="left" w:pos="461"/>
          <w:tab w:val="left" w:pos="461"/>
        </w:tabs>
      </w:pPr>
      <w:r>
        <w:t>L’équipe tactique Procédures et outils opérationnels cherche des moyens de réduire les coûts, tandis que l’équipe tactique Établissement des coûts, marchés et financement étudie d’autres modèles de financement.</w:t>
      </w:r>
    </w:p>
    <w:p w14:paraId="75B09DFF" w14:textId="77777777" w:rsidR="009F2F26" w:rsidRDefault="00000000">
      <w:pPr>
        <w:pStyle w:val="Heading3"/>
        <w:tabs>
          <w:tab w:val="left" w:pos="461"/>
          <w:tab w:val="left" w:pos="461"/>
          <w:tab w:val="left" w:pos="461"/>
          <w:tab w:val="left" w:pos="461"/>
          <w:tab w:val="left" w:pos="461"/>
          <w:tab w:val="left" w:pos="461"/>
          <w:tab w:val="left" w:pos="461"/>
        </w:tabs>
      </w:pPr>
      <w:bookmarkStart w:id="31" w:name="_heading=h.t401so22e39r" w:colFirst="0" w:colLast="0"/>
      <w:bookmarkEnd w:id="31"/>
      <w:r>
        <w:t>Déclaration d’intérêt soumise à l’appel du Programme d’infrastructure de calcul souveraine pour l’IA d’Innovation, Science et Développement économique Canada (ISED)</w:t>
      </w:r>
    </w:p>
    <w:p w14:paraId="13AA3CFF" w14:textId="77777777" w:rsidR="009F2F26" w:rsidRDefault="00000000">
      <w:pPr>
        <w:numPr>
          <w:ilvl w:val="0"/>
          <w:numId w:val="20"/>
        </w:numPr>
        <w:tabs>
          <w:tab w:val="left" w:pos="461"/>
          <w:tab w:val="left" w:pos="461"/>
          <w:tab w:val="left" w:pos="461"/>
          <w:tab w:val="left" w:pos="461"/>
          <w:tab w:val="left" w:pos="461"/>
          <w:tab w:val="left" w:pos="461"/>
          <w:tab w:val="left" w:pos="461"/>
        </w:tabs>
      </w:pPr>
      <w:r>
        <w:t>Les membres de l’Alliance pour la recherche sur les données de santé, du RRDS Canada, de l’étude longitudinale canadienne sur le vieillissement et du Canadian Network for Observational Drug Effect Studies, de concert avec l’ICES, ont soumis une déclaration d’intérêt commune à l’appel de l’ISED, en soulignant notre rôle essentiel dans le volet des données et de la recherche en santé, en particulier les environnements de recherche sécurisés, la gouvernance des données, la gestion des données et les partenariats avec le public, les patients et les collectivités. Cette soumission mise sur notre expertise et nos capacités, ainsi que le rôle clé de cette nouvelle infrastructure pour les données et la recherche en santé.</w:t>
      </w:r>
    </w:p>
    <w:p w14:paraId="04F2B1C5" w14:textId="77777777" w:rsidR="009F2F26" w:rsidRDefault="009F2F26">
      <w:pPr>
        <w:spacing w:after="120" w:line="276" w:lineRule="auto"/>
      </w:pPr>
    </w:p>
    <w:sectPr w:rsidR="009F2F26">
      <w:footerReference w:type="even" r:id="rId12"/>
      <w:footerReference w:type="default" r:id="rId13"/>
      <w:footerReference w:type="first" r:id="rId14"/>
      <w:pgSz w:w="12240" w:h="15840"/>
      <w:pgMar w:top="1440" w:right="1080" w:bottom="1440" w:left="1080" w:header="0" w:footer="964"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0CD394" w14:textId="77777777" w:rsidR="0059779C" w:rsidRDefault="0059779C">
      <w:pPr>
        <w:spacing w:after="0" w:line="240" w:lineRule="auto"/>
      </w:pPr>
      <w:r>
        <w:separator/>
      </w:r>
    </w:p>
  </w:endnote>
  <w:endnote w:type="continuationSeparator" w:id="0">
    <w:p w14:paraId="2478E7BF" w14:textId="77777777" w:rsidR="0059779C" w:rsidRDefault="005977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ato">
    <w:charset w:val="00"/>
    <w:family w:val="swiss"/>
    <w:pitch w:val="variable"/>
    <w:sig w:usb0="E10002FF" w:usb1="5000ECFF" w:usb2="00000021" w:usb3="00000000" w:csb0="0000019F" w:csb1="00000000"/>
    <w:embedRegular r:id="rId1" w:fontKey="{C32A95B5-34C5-48C9-8D81-2421EB19428D}"/>
    <w:embedBold r:id="rId2" w:fontKey="{E9159DC5-C38B-40D0-8544-46C702998236}"/>
    <w:embedItalic r:id="rId3" w:fontKey="{7230E376-A3E8-42A1-A8A1-C18C7B342F00}"/>
  </w:font>
  <w:font w:name="Consolas">
    <w:panose1 w:val="020B0609020204030204"/>
    <w:charset w:val="00"/>
    <w:family w:val="roman"/>
    <w:notTrueType/>
    <w:pitch w:val="default"/>
    <w:embedRegular r:id="rId4" w:fontKey="{DCFC9ABA-00D7-4D7C-826F-E585FF4F180A}"/>
  </w:font>
  <w:font w:name="Calibri">
    <w:panose1 w:val="020F0502020204030204"/>
    <w:charset w:val="00"/>
    <w:family w:val="swiss"/>
    <w:pitch w:val="variable"/>
    <w:sig w:usb0="E4002EFF" w:usb1="C200247B" w:usb2="00000009" w:usb3="00000000" w:csb0="000001FF" w:csb1="00000000"/>
    <w:embedRegular r:id="rId5" w:fontKey="{B6B981B5-1246-4BE0-A367-174AC0232479}"/>
    <w:embedBold r:id="rId6" w:fontKey="{DA5E34A4-9146-46AD-9E58-E56BA0A6718B}"/>
    <w:embedItalic r:id="rId7" w:fontKey="{3A906027-6160-407D-A8EB-FE23BB639C1E}"/>
  </w:font>
  <w:font w:name="Calibri Light">
    <w:panose1 w:val="020F0302020204030204"/>
    <w:charset w:val="00"/>
    <w:family w:val="swiss"/>
    <w:pitch w:val="variable"/>
    <w:sig w:usb0="E4002EFF" w:usb1="C200247B" w:usb2="00000009" w:usb3="00000000" w:csb0="000001FF" w:csb1="00000000"/>
    <w:embedRegular r:id="rId8" w:fontKey="{ED5BE394-CCBE-4783-AAAA-471512BFC70F}"/>
    <w:embedBold r:id="rId9" w:fontKey="{5B274418-226D-4DF8-9667-818683321291}"/>
  </w:font>
  <w:font w:name="Cambria">
    <w:panose1 w:val="02040503050406030204"/>
    <w:charset w:val="00"/>
    <w:family w:val="roman"/>
    <w:notTrueType/>
    <w:pitch w:val="default"/>
    <w:embedRegular r:id="rId10" w:fontKey="{5EB40B1A-156E-4AF7-A117-D9F09F934254}"/>
  </w:font>
  <w:font w:name="Franklin Gothic Book">
    <w:panose1 w:val="020B0503020102020204"/>
    <w:charset w:val="00"/>
    <w:family w:val="roman"/>
    <w:notTrueType/>
    <w:pitch w:val="default"/>
    <w:embedBold r:id="rId11" w:fontKey="{6ED07BE0-6D2E-499F-A1D6-506391A10110}"/>
  </w:font>
  <w:font w:name="Segoe UI">
    <w:panose1 w:val="020B0502040204020203"/>
    <w:charset w:val="00"/>
    <w:family w:val="roman"/>
    <w:notTrueType/>
    <w:pitch w:val="default"/>
    <w:embedRegular r:id="rId12" w:fontKey="{41F6DF32-E471-4EFF-8650-BB8569EF724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D3A41C" w14:textId="77777777" w:rsidR="009F2F26"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674B73F3" w14:textId="77777777" w:rsidR="009F2F26" w:rsidRDefault="009F2F26">
    <w:pPr>
      <w:pBdr>
        <w:top w:val="nil"/>
        <w:left w:val="nil"/>
        <w:bottom w:val="nil"/>
        <w:right w:val="nil"/>
        <w:between w:val="nil"/>
      </w:pBdr>
      <w:tabs>
        <w:tab w:val="center" w:pos="4680"/>
        <w:tab w:val="right" w:pos="9360"/>
      </w:tabs>
      <w:spacing w:after="0" w:line="240" w:lineRule="auto"/>
      <w:ind w:right="360" w:firstLine="360"/>
      <w:rPr>
        <w:color w:val="000000"/>
      </w:rPr>
    </w:pPr>
  </w:p>
  <w:p w14:paraId="54AC30CE" w14:textId="77777777" w:rsidR="009F2F26" w:rsidRDefault="009F2F2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DA7C6E" w14:textId="77777777" w:rsidR="009F2F26" w:rsidRDefault="00000000">
    <w:pPr>
      <w:jc w:val="center"/>
    </w:pPr>
    <w:r>
      <w:rPr>
        <w:noProof/>
      </w:rPr>
      <w:drawing>
        <wp:anchor distT="0" distB="0" distL="114300" distR="114300" simplePos="0" relativeHeight="251658240" behindDoc="0" locked="0" layoutInCell="1" hidden="0" allowOverlap="1" wp14:anchorId="0841BC0C" wp14:editId="5CD7CF95">
          <wp:simplePos x="0" y="0"/>
          <wp:positionH relativeFrom="column">
            <wp:posOffset>-98047</wp:posOffset>
          </wp:positionH>
          <wp:positionV relativeFrom="paragraph">
            <wp:posOffset>58418</wp:posOffset>
          </wp:positionV>
          <wp:extent cx="3164840" cy="822960"/>
          <wp:effectExtent l="0" t="0" r="0" b="0"/>
          <wp:wrapSquare wrapText="bothSides" distT="0" distB="0" distL="114300" distR="114300"/>
          <wp:docPr id="1903986585" name="image1.png" descr="HDRN Canada Logo"/>
          <wp:cNvGraphicFramePr/>
          <a:graphic xmlns:a="http://schemas.openxmlformats.org/drawingml/2006/main">
            <a:graphicData uri="http://schemas.openxmlformats.org/drawingml/2006/picture">
              <pic:pic xmlns:pic="http://schemas.openxmlformats.org/drawingml/2006/picture">
                <pic:nvPicPr>
                  <pic:cNvPr id="0" name="image1.png" descr="HDRN Canada Logo"/>
                  <pic:cNvPicPr preferRelativeResize="0"/>
                </pic:nvPicPr>
                <pic:blipFill>
                  <a:blip r:embed="rId1"/>
                  <a:srcRect l="5505" r="3234"/>
                  <a:stretch>
                    <a:fillRect/>
                  </a:stretch>
                </pic:blipFill>
                <pic:spPr>
                  <a:xfrm>
                    <a:off x="0" y="0"/>
                    <a:ext cx="3164840" cy="822960"/>
                  </a:xfrm>
                  <a:prstGeom prst="rect">
                    <a:avLst/>
                  </a:prstGeom>
                  <a:ln/>
                </pic:spPr>
              </pic:pic>
            </a:graphicData>
          </a:graphic>
        </wp:anchor>
      </w:drawing>
    </w:r>
  </w:p>
  <w:p w14:paraId="72E4792D" w14:textId="77777777" w:rsidR="009F2F26"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5A712A">
      <w:rPr>
        <w:noProof/>
        <w:color w:val="000000"/>
      </w:rPr>
      <w:t>2</w:t>
    </w:r>
    <w:r>
      <w:rPr>
        <w:color w:val="000000"/>
      </w:rPr>
      <w:fldChar w:fldCharType="end"/>
    </w:r>
  </w:p>
  <w:p w14:paraId="42099ECC" w14:textId="77777777" w:rsidR="009F2F26" w:rsidRDefault="009F2F26"/>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09CB9C" w14:textId="77777777" w:rsidR="009F2F26" w:rsidRDefault="00000000">
    <w:pPr>
      <w:pBdr>
        <w:top w:val="nil"/>
        <w:left w:val="nil"/>
        <w:bottom w:val="nil"/>
        <w:right w:val="nil"/>
        <w:between w:val="nil"/>
      </w:pBdr>
      <w:tabs>
        <w:tab w:val="center" w:pos="4680"/>
        <w:tab w:val="right" w:pos="9360"/>
      </w:tabs>
      <w:spacing w:after="0" w:line="240" w:lineRule="auto"/>
      <w:rPr>
        <w:color w:val="000000"/>
      </w:rPr>
    </w:pPr>
    <w:r>
      <w:rPr>
        <w:noProof/>
      </w:rPr>
      <mc:AlternateContent>
        <mc:Choice Requires="wpg">
          <w:drawing>
            <wp:anchor distT="0" distB="0" distL="0" distR="0" simplePos="0" relativeHeight="251659264" behindDoc="1" locked="0" layoutInCell="1" hidden="0" allowOverlap="1" wp14:anchorId="5E435BF2" wp14:editId="592B446E">
              <wp:simplePos x="0" y="0"/>
              <wp:positionH relativeFrom="column">
                <wp:posOffset>-2006593</wp:posOffset>
              </wp:positionH>
              <wp:positionV relativeFrom="paragraph">
                <wp:posOffset>-241295</wp:posOffset>
              </wp:positionV>
              <wp:extent cx="9334500" cy="3385185"/>
              <wp:effectExtent l="0" t="0" r="0" b="0"/>
              <wp:wrapNone/>
              <wp:docPr id="1903986584" name="Group 1903986584"/>
              <wp:cNvGraphicFramePr/>
              <a:graphic xmlns:a="http://schemas.openxmlformats.org/drawingml/2006/main">
                <a:graphicData uri="http://schemas.microsoft.com/office/word/2010/wordprocessingGroup">
                  <wpg:wgp>
                    <wpg:cNvGrpSpPr/>
                    <wpg:grpSpPr>
                      <a:xfrm>
                        <a:off x="0" y="0"/>
                        <a:ext cx="9334500" cy="3385185"/>
                        <a:chOff x="678750" y="2087400"/>
                        <a:chExt cx="9334500" cy="3385200"/>
                      </a:xfrm>
                    </wpg:grpSpPr>
                    <wpg:grpSp>
                      <wpg:cNvPr id="703849320" name="Group 703849320"/>
                      <wpg:cNvGrpSpPr/>
                      <wpg:grpSpPr>
                        <a:xfrm>
                          <a:off x="678750" y="2087408"/>
                          <a:ext cx="9334500" cy="3385185"/>
                          <a:chOff x="678750" y="2087400"/>
                          <a:chExt cx="9334500" cy="3385200"/>
                        </a:xfrm>
                      </wpg:grpSpPr>
                      <wps:wsp>
                        <wps:cNvPr id="217331254" name="Rectangle 217331254"/>
                        <wps:cNvSpPr/>
                        <wps:spPr>
                          <a:xfrm>
                            <a:off x="678750" y="2087400"/>
                            <a:ext cx="9334500" cy="3385200"/>
                          </a:xfrm>
                          <a:prstGeom prst="rect">
                            <a:avLst/>
                          </a:prstGeom>
                          <a:noFill/>
                          <a:ln>
                            <a:noFill/>
                          </a:ln>
                        </wps:spPr>
                        <wps:txbx>
                          <w:txbxContent>
                            <w:p w14:paraId="5041E385" w14:textId="77777777" w:rsidR="009F2F26" w:rsidRDefault="009F2F26">
                              <w:pPr>
                                <w:spacing w:after="0" w:line="240" w:lineRule="auto"/>
                                <w:textDirection w:val="btLr"/>
                              </w:pPr>
                            </w:p>
                          </w:txbxContent>
                        </wps:txbx>
                        <wps:bodyPr spcFirstLastPara="1" wrap="square" lIns="91425" tIns="91425" rIns="91425" bIns="91425" anchor="ctr" anchorCtr="0">
                          <a:noAutofit/>
                        </wps:bodyPr>
                      </wps:wsp>
                      <wpg:grpSp>
                        <wpg:cNvPr id="962732741" name="Group 962732741"/>
                        <wpg:cNvGrpSpPr/>
                        <wpg:grpSpPr>
                          <a:xfrm>
                            <a:off x="678750" y="2087408"/>
                            <a:ext cx="9334500" cy="3385185"/>
                            <a:chOff x="678750" y="2087400"/>
                            <a:chExt cx="9334500" cy="3385200"/>
                          </a:xfrm>
                        </wpg:grpSpPr>
                        <wps:wsp>
                          <wps:cNvPr id="1577381289" name="Rectangle 1577381289"/>
                          <wps:cNvSpPr/>
                          <wps:spPr>
                            <a:xfrm>
                              <a:off x="678750" y="2087400"/>
                              <a:ext cx="9334500" cy="3385200"/>
                            </a:xfrm>
                            <a:prstGeom prst="rect">
                              <a:avLst/>
                            </a:prstGeom>
                            <a:noFill/>
                            <a:ln>
                              <a:noFill/>
                            </a:ln>
                          </wps:spPr>
                          <wps:txbx>
                            <w:txbxContent>
                              <w:p w14:paraId="57E12B78" w14:textId="77777777" w:rsidR="009F2F26" w:rsidRDefault="009F2F26">
                                <w:pPr>
                                  <w:spacing w:after="0" w:line="240" w:lineRule="auto"/>
                                  <w:textDirection w:val="btLr"/>
                                </w:pPr>
                              </w:p>
                            </w:txbxContent>
                          </wps:txbx>
                          <wps:bodyPr spcFirstLastPara="1" wrap="square" lIns="91425" tIns="91425" rIns="91425" bIns="91425" anchor="ctr" anchorCtr="0">
                            <a:noAutofit/>
                          </wps:bodyPr>
                        </wps:wsp>
                        <wpg:grpSp>
                          <wpg:cNvPr id="187576302" name="Group 187576302"/>
                          <wpg:cNvGrpSpPr/>
                          <wpg:grpSpPr>
                            <a:xfrm>
                              <a:off x="678750" y="2087408"/>
                              <a:ext cx="9334500" cy="3385185"/>
                              <a:chOff x="678750" y="2087400"/>
                              <a:chExt cx="9334500" cy="3385200"/>
                            </a:xfrm>
                          </wpg:grpSpPr>
                          <wps:wsp>
                            <wps:cNvPr id="1034247712" name="Rectangle 1034247712"/>
                            <wps:cNvSpPr/>
                            <wps:spPr>
                              <a:xfrm>
                                <a:off x="678750" y="2087400"/>
                                <a:ext cx="9334500" cy="3385200"/>
                              </a:xfrm>
                              <a:prstGeom prst="rect">
                                <a:avLst/>
                              </a:prstGeom>
                              <a:noFill/>
                              <a:ln>
                                <a:noFill/>
                              </a:ln>
                            </wps:spPr>
                            <wps:txbx>
                              <w:txbxContent>
                                <w:p w14:paraId="5CD9FC94" w14:textId="77777777" w:rsidR="009F2F26" w:rsidRDefault="009F2F26">
                                  <w:pPr>
                                    <w:spacing w:after="0" w:line="240" w:lineRule="auto"/>
                                    <w:textDirection w:val="btLr"/>
                                  </w:pPr>
                                </w:p>
                              </w:txbxContent>
                            </wps:txbx>
                            <wps:bodyPr spcFirstLastPara="1" wrap="square" lIns="91425" tIns="91425" rIns="91425" bIns="91425" anchor="ctr" anchorCtr="0">
                              <a:noAutofit/>
                            </wps:bodyPr>
                          </wps:wsp>
                          <wpg:grpSp>
                            <wpg:cNvPr id="2031036228" name="Group 2031036228"/>
                            <wpg:cNvGrpSpPr/>
                            <wpg:grpSpPr>
                              <a:xfrm>
                                <a:off x="678750" y="2087408"/>
                                <a:ext cx="9334500" cy="3385185"/>
                                <a:chOff x="678750" y="2087400"/>
                                <a:chExt cx="9334500" cy="3385200"/>
                              </a:xfrm>
                            </wpg:grpSpPr>
                            <wps:wsp>
                              <wps:cNvPr id="360950920" name="Rectangle 360950920"/>
                              <wps:cNvSpPr/>
                              <wps:spPr>
                                <a:xfrm>
                                  <a:off x="678750" y="2087400"/>
                                  <a:ext cx="9334500" cy="3385200"/>
                                </a:xfrm>
                                <a:prstGeom prst="rect">
                                  <a:avLst/>
                                </a:prstGeom>
                                <a:noFill/>
                                <a:ln>
                                  <a:noFill/>
                                </a:ln>
                              </wps:spPr>
                              <wps:txbx>
                                <w:txbxContent>
                                  <w:p w14:paraId="055C6480" w14:textId="77777777" w:rsidR="009F2F26" w:rsidRDefault="009F2F26">
                                    <w:pPr>
                                      <w:spacing w:after="0" w:line="240" w:lineRule="auto"/>
                                      <w:textDirection w:val="btLr"/>
                                    </w:pPr>
                                  </w:p>
                                </w:txbxContent>
                              </wps:txbx>
                              <wps:bodyPr spcFirstLastPara="1" wrap="square" lIns="91425" tIns="91425" rIns="91425" bIns="91425" anchor="ctr" anchorCtr="0">
                                <a:noAutofit/>
                              </wps:bodyPr>
                            </wps:wsp>
                            <wpg:grpSp>
                              <wpg:cNvPr id="174129222" name="Group 174129222"/>
                              <wpg:cNvGrpSpPr/>
                              <wpg:grpSpPr>
                                <a:xfrm>
                                  <a:off x="678750" y="2087408"/>
                                  <a:ext cx="9334500" cy="3385185"/>
                                  <a:chOff x="678750" y="2087400"/>
                                  <a:chExt cx="9334500" cy="3385200"/>
                                </a:xfrm>
                              </wpg:grpSpPr>
                              <wps:wsp>
                                <wps:cNvPr id="1155408343" name="Rectangle 1155408343"/>
                                <wps:cNvSpPr/>
                                <wps:spPr>
                                  <a:xfrm>
                                    <a:off x="678750" y="2087400"/>
                                    <a:ext cx="9334500" cy="3385200"/>
                                  </a:xfrm>
                                  <a:prstGeom prst="rect">
                                    <a:avLst/>
                                  </a:prstGeom>
                                  <a:noFill/>
                                  <a:ln>
                                    <a:noFill/>
                                  </a:ln>
                                </wps:spPr>
                                <wps:txbx>
                                  <w:txbxContent>
                                    <w:p w14:paraId="384C4C57" w14:textId="77777777" w:rsidR="009F2F26" w:rsidRDefault="009F2F26">
                                      <w:pPr>
                                        <w:spacing w:after="0" w:line="240" w:lineRule="auto"/>
                                        <w:textDirection w:val="btLr"/>
                                      </w:pPr>
                                    </w:p>
                                  </w:txbxContent>
                                </wps:txbx>
                                <wps:bodyPr spcFirstLastPara="1" wrap="square" lIns="91425" tIns="91425" rIns="91425" bIns="91425" anchor="ctr" anchorCtr="0">
                                  <a:noAutofit/>
                                </wps:bodyPr>
                              </wps:wsp>
                              <wpg:grpSp>
                                <wpg:cNvPr id="1654202145" name="Group 1654202145"/>
                                <wpg:cNvGrpSpPr/>
                                <wpg:grpSpPr>
                                  <a:xfrm>
                                    <a:off x="678750" y="2087408"/>
                                    <a:ext cx="9334500" cy="3385185"/>
                                    <a:chOff x="678750" y="2087400"/>
                                    <a:chExt cx="9334500" cy="3385200"/>
                                  </a:xfrm>
                                </wpg:grpSpPr>
                                <wps:wsp>
                                  <wps:cNvPr id="2137075170" name="Rectangle 2137075170"/>
                                  <wps:cNvSpPr/>
                                  <wps:spPr>
                                    <a:xfrm>
                                      <a:off x="678750" y="2087400"/>
                                      <a:ext cx="9334500" cy="3385200"/>
                                    </a:xfrm>
                                    <a:prstGeom prst="rect">
                                      <a:avLst/>
                                    </a:prstGeom>
                                    <a:noFill/>
                                    <a:ln>
                                      <a:noFill/>
                                    </a:ln>
                                  </wps:spPr>
                                  <wps:txbx>
                                    <w:txbxContent>
                                      <w:p w14:paraId="0380B507" w14:textId="77777777" w:rsidR="009F2F26" w:rsidRDefault="009F2F26">
                                        <w:pPr>
                                          <w:spacing w:after="0" w:line="240" w:lineRule="auto"/>
                                          <w:textDirection w:val="btLr"/>
                                        </w:pPr>
                                      </w:p>
                                    </w:txbxContent>
                                  </wps:txbx>
                                  <wps:bodyPr spcFirstLastPara="1" wrap="square" lIns="91425" tIns="91425" rIns="91425" bIns="91425" anchor="ctr" anchorCtr="0">
                                    <a:noAutofit/>
                                  </wps:bodyPr>
                                </wps:wsp>
                                <wpg:grpSp>
                                  <wpg:cNvPr id="1120046747" name="Group 1120046747"/>
                                  <wpg:cNvGrpSpPr/>
                                  <wpg:grpSpPr>
                                    <a:xfrm>
                                      <a:off x="678750" y="2087408"/>
                                      <a:ext cx="9334500" cy="3385185"/>
                                      <a:chOff x="678750" y="2087400"/>
                                      <a:chExt cx="9334500" cy="3385200"/>
                                    </a:xfrm>
                                  </wpg:grpSpPr>
                                  <wps:wsp>
                                    <wps:cNvPr id="2009741063" name="Rectangle 2009741063"/>
                                    <wps:cNvSpPr/>
                                    <wps:spPr>
                                      <a:xfrm>
                                        <a:off x="678750" y="2087400"/>
                                        <a:ext cx="9334500" cy="3385200"/>
                                      </a:xfrm>
                                      <a:prstGeom prst="rect">
                                        <a:avLst/>
                                      </a:prstGeom>
                                      <a:noFill/>
                                      <a:ln>
                                        <a:noFill/>
                                      </a:ln>
                                    </wps:spPr>
                                    <wps:txbx>
                                      <w:txbxContent>
                                        <w:p w14:paraId="483BC582" w14:textId="77777777" w:rsidR="009F2F26" w:rsidRDefault="009F2F26">
                                          <w:pPr>
                                            <w:spacing w:after="0" w:line="240" w:lineRule="auto"/>
                                            <w:textDirection w:val="btLr"/>
                                          </w:pPr>
                                        </w:p>
                                      </w:txbxContent>
                                    </wps:txbx>
                                    <wps:bodyPr spcFirstLastPara="1" wrap="square" lIns="91425" tIns="91425" rIns="91425" bIns="91425" anchor="ctr" anchorCtr="0">
                                      <a:noAutofit/>
                                    </wps:bodyPr>
                                  </wps:wsp>
                                  <wpg:grpSp>
                                    <wpg:cNvPr id="1172010216" name="Group 1172010216"/>
                                    <wpg:cNvGrpSpPr/>
                                    <wpg:grpSpPr>
                                      <a:xfrm>
                                        <a:off x="678750" y="2087408"/>
                                        <a:ext cx="9334500" cy="3385185"/>
                                        <a:chOff x="678750" y="2087400"/>
                                        <a:chExt cx="9334500" cy="3385200"/>
                                      </a:xfrm>
                                    </wpg:grpSpPr>
                                    <wps:wsp>
                                      <wps:cNvPr id="258169549" name="Rectangle 258169549"/>
                                      <wps:cNvSpPr/>
                                      <wps:spPr>
                                        <a:xfrm>
                                          <a:off x="678750" y="2087400"/>
                                          <a:ext cx="9334500" cy="3385200"/>
                                        </a:xfrm>
                                        <a:prstGeom prst="rect">
                                          <a:avLst/>
                                        </a:prstGeom>
                                        <a:noFill/>
                                        <a:ln>
                                          <a:noFill/>
                                        </a:ln>
                                      </wps:spPr>
                                      <wps:txbx>
                                        <w:txbxContent>
                                          <w:p w14:paraId="156BE49C" w14:textId="77777777" w:rsidR="009F2F26" w:rsidRDefault="009F2F26">
                                            <w:pPr>
                                              <w:spacing w:after="0" w:line="240" w:lineRule="auto"/>
                                              <w:textDirection w:val="btLr"/>
                                            </w:pPr>
                                          </w:p>
                                        </w:txbxContent>
                                      </wps:txbx>
                                      <wps:bodyPr spcFirstLastPara="1" wrap="square" lIns="91425" tIns="91425" rIns="91425" bIns="91425" anchor="ctr" anchorCtr="0">
                                        <a:noAutofit/>
                                      </wps:bodyPr>
                                    </wps:wsp>
                                    <wpg:grpSp>
                                      <wpg:cNvPr id="1660092197" name="Group 1660092197"/>
                                      <wpg:cNvGrpSpPr/>
                                      <wpg:grpSpPr>
                                        <a:xfrm>
                                          <a:off x="678750" y="2087408"/>
                                          <a:ext cx="9334500" cy="3385185"/>
                                          <a:chOff x="678750" y="2087400"/>
                                          <a:chExt cx="9334500" cy="3385200"/>
                                        </a:xfrm>
                                      </wpg:grpSpPr>
                                      <wps:wsp>
                                        <wps:cNvPr id="827759922" name="Rectangle 827759922"/>
                                        <wps:cNvSpPr/>
                                        <wps:spPr>
                                          <a:xfrm>
                                            <a:off x="678750" y="2087400"/>
                                            <a:ext cx="9334500" cy="3385200"/>
                                          </a:xfrm>
                                          <a:prstGeom prst="rect">
                                            <a:avLst/>
                                          </a:prstGeom>
                                          <a:noFill/>
                                          <a:ln>
                                            <a:noFill/>
                                          </a:ln>
                                        </wps:spPr>
                                        <wps:txbx>
                                          <w:txbxContent>
                                            <w:p w14:paraId="67078D49" w14:textId="77777777" w:rsidR="009F2F26" w:rsidRDefault="009F2F26">
                                              <w:pPr>
                                                <w:spacing w:after="0" w:line="240" w:lineRule="auto"/>
                                                <w:textDirection w:val="btLr"/>
                                              </w:pPr>
                                            </w:p>
                                          </w:txbxContent>
                                        </wps:txbx>
                                        <wps:bodyPr spcFirstLastPara="1" wrap="square" lIns="91425" tIns="91425" rIns="91425" bIns="91425" anchor="ctr" anchorCtr="0">
                                          <a:noAutofit/>
                                        </wps:bodyPr>
                                      </wps:wsp>
                                      <wpg:grpSp>
                                        <wpg:cNvPr id="953606277" name="Group 953606277"/>
                                        <wpg:cNvGrpSpPr/>
                                        <wpg:grpSpPr>
                                          <a:xfrm>
                                            <a:off x="678750" y="2087408"/>
                                            <a:ext cx="9334500" cy="3385185"/>
                                            <a:chOff x="678750" y="2087400"/>
                                            <a:chExt cx="9334500" cy="3385200"/>
                                          </a:xfrm>
                                        </wpg:grpSpPr>
                                        <wps:wsp>
                                          <wps:cNvPr id="1097043804" name="Rectangle 1097043804"/>
                                          <wps:cNvSpPr/>
                                          <wps:spPr>
                                            <a:xfrm>
                                              <a:off x="678750" y="2087400"/>
                                              <a:ext cx="9334500" cy="3385200"/>
                                            </a:xfrm>
                                            <a:prstGeom prst="rect">
                                              <a:avLst/>
                                            </a:prstGeom>
                                            <a:noFill/>
                                            <a:ln>
                                              <a:noFill/>
                                            </a:ln>
                                          </wps:spPr>
                                          <wps:txbx>
                                            <w:txbxContent>
                                              <w:p w14:paraId="28961181" w14:textId="77777777" w:rsidR="009F2F26" w:rsidRDefault="009F2F26">
                                                <w:pPr>
                                                  <w:spacing w:after="0" w:line="240" w:lineRule="auto"/>
                                                  <w:textDirection w:val="btLr"/>
                                                </w:pPr>
                                              </w:p>
                                            </w:txbxContent>
                                          </wps:txbx>
                                          <wps:bodyPr spcFirstLastPara="1" wrap="square" lIns="91425" tIns="91425" rIns="91425" bIns="91425" anchor="ctr" anchorCtr="0">
                                            <a:noAutofit/>
                                          </wps:bodyPr>
                                        </wps:wsp>
                                        <wpg:grpSp>
                                          <wpg:cNvPr id="1246181644" name="Group 1246181644"/>
                                          <wpg:cNvGrpSpPr/>
                                          <wpg:grpSpPr>
                                            <a:xfrm>
                                              <a:off x="678750" y="2087408"/>
                                              <a:ext cx="9334500" cy="3385185"/>
                                              <a:chOff x="678750" y="2087400"/>
                                              <a:chExt cx="9334500" cy="3385200"/>
                                            </a:xfrm>
                                          </wpg:grpSpPr>
                                          <wps:wsp>
                                            <wps:cNvPr id="613893782" name="Rectangle 613893782"/>
                                            <wps:cNvSpPr/>
                                            <wps:spPr>
                                              <a:xfrm>
                                                <a:off x="678750" y="2087400"/>
                                                <a:ext cx="9334500" cy="3385200"/>
                                              </a:xfrm>
                                              <a:prstGeom prst="rect">
                                                <a:avLst/>
                                              </a:prstGeom>
                                              <a:noFill/>
                                              <a:ln>
                                                <a:noFill/>
                                              </a:ln>
                                            </wps:spPr>
                                            <wps:txbx>
                                              <w:txbxContent>
                                                <w:p w14:paraId="13941F7F" w14:textId="77777777" w:rsidR="009F2F26" w:rsidRDefault="009F2F26">
                                                  <w:pPr>
                                                    <w:spacing w:after="0" w:line="240" w:lineRule="auto"/>
                                                    <w:textDirection w:val="btLr"/>
                                                  </w:pPr>
                                                </w:p>
                                              </w:txbxContent>
                                            </wps:txbx>
                                            <wps:bodyPr spcFirstLastPara="1" wrap="square" lIns="91425" tIns="91425" rIns="91425" bIns="91425" anchor="ctr" anchorCtr="0">
                                              <a:noAutofit/>
                                            </wps:bodyPr>
                                          </wps:wsp>
                                          <wpg:grpSp>
                                            <wpg:cNvPr id="1870553927" name="Group 1870553927"/>
                                            <wpg:cNvGrpSpPr/>
                                            <wpg:grpSpPr>
                                              <a:xfrm>
                                                <a:off x="678750" y="2087408"/>
                                                <a:ext cx="9334500" cy="3385185"/>
                                                <a:chOff x="678750" y="2087400"/>
                                                <a:chExt cx="9334500" cy="3385200"/>
                                              </a:xfrm>
                                            </wpg:grpSpPr>
                                            <wps:wsp>
                                              <wps:cNvPr id="1661707212" name="Rectangle 1661707212"/>
                                              <wps:cNvSpPr/>
                                              <wps:spPr>
                                                <a:xfrm>
                                                  <a:off x="678750" y="2087400"/>
                                                  <a:ext cx="9334500" cy="3385200"/>
                                                </a:xfrm>
                                                <a:prstGeom prst="rect">
                                                  <a:avLst/>
                                                </a:prstGeom>
                                                <a:noFill/>
                                                <a:ln>
                                                  <a:noFill/>
                                                </a:ln>
                                              </wps:spPr>
                                              <wps:txbx>
                                                <w:txbxContent>
                                                  <w:p w14:paraId="097C7D9A" w14:textId="77777777" w:rsidR="009F2F26" w:rsidRDefault="009F2F26">
                                                    <w:pPr>
                                                      <w:spacing w:after="0" w:line="240" w:lineRule="auto"/>
                                                      <w:textDirection w:val="btLr"/>
                                                    </w:pPr>
                                                  </w:p>
                                                </w:txbxContent>
                                              </wps:txbx>
                                              <wps:bodyPr spcFirstLastPara="1" wrap="square" lIns="91425" tIns="91425" rIns="91425" bIns="91425" anchor="ctr" anchorCtr="0">
                                                <a:noAutofit/>
                                              </wps:bodyPr>
                                            </wps:wsp>
                                            <wpg:grpSp>
                                              <wpg:cNvPr id="1904029516" name="Group 1904029516"/>
                                              <wpg:cNvGrpSpPr/>
                                              <wpg:grpSpPr>
                                                <a:xfrm>
                                                  <a:off x="678750" y="2087408"/>
                                                  <a:ext cx="9334500" cy="3385185"/>
                                                  <a:chOff x="678750" y="2087400"/>
                                                  <a:chExt cx="9334500" cy="3385200"/>
                                                </a:xfrm>
                                              </wpg:grpSpPr>
                                              <wps:wsp>
                                                <wps:cNvPr id="287400650" name="Rectangle 287400650"/>
                                                <wps:cNvSpPr/>
                                                <wps:spPr>
                                                  <a:xfrm>
                                                    <a:off x="678750" y="2087400"/>
                                                    <a:ext cx="9334500" cy="3385200"/>
                                                  </a:xfrm>
                                                  <a:prstGeom prst="rect">
                                                    <a:avLst/>
                                                  </a:prstGeom>
                                                  <a:noFill/>
                                                  <a:ln>
                                                    <a:noFill/>
                                                  </a:ln>
                                                </wps:spPr>
                                                <wps:txbx>
                                                  <w:txbxContent>
                                                    <w:p w14:paraId="677C1093" w14:textId="77777777" w:rsidR="009F2F26" w:rsidRDefault="009F2F26">
                                                      <w:pPr>
                                                        <w:spacing w:after="0" w:line="240" w:lineRule="auto"/>
                                                        <w:textDirection w:val="btLr"/>
                                                      </w:pPr>
                                                    </w:p>
                                                  </w:txbxContent>
                                                </wps:txbx>
                                                <wps:bodyPr spcFirstLastPara="1" wrap="square" lIns="91425" tIns="91425" rIns="91425" bIns="91425" anchor="ctr" anchorCtr="0">
                                                  <a:noAutofit/>
                                                </wps:bodyPr>
                                              </wps:wsp>
                                              <wpg:grpSp>
                                                <wpg:cNvPr id="394005140" name="Group 394005140"/>
                                                <wpg:cNvGrpSpPr/>
                                                <wpg:grpSpPr>
                                                  <a:xfrm>
                                                    <a:off x="678750" y="2087408"/>
                                                    <a:ext cx="9334500" cy="3385185"/>
                                                    <a:chOff x="678750" y="2087400"/>
                                                    <a:chExt cx="9334500" cy="3385200"/>
                                                  </a:xfrm>
                                                </wpg:grpSpPr>
                                                <wps:wsp>
                                                  <wps:cNvPr id="1962681977" name="Rectangle 1962681977"/>
                                                  <wps:cNvSpPr/>
                                                  <wps:spPr>
                                                    <a:xfrm>
                                                      <a:off x="678750" y="2087400"/>
                                                      <a:ext cx="9334500" cy="3385200"/>
                                                    </a:xfrm>
                                                    <a:prstGeom prst="rect">
                                                      <a:avLst/>
                                                    </a:prstGeom>
                                                    <a:noFill/>
                                                    <a:ln>
                                                      <a:noFill/>
                                                    </a:ln>
                                                  </wps:spPr>
                                                  <wps:txbx>
                                                    <w:txbxContent>
                                                      <w:p w14:paraId="6D23E066" w14:textId="77777777" w:rsidR="009F2F26" w:rsidRDefault="009F2F26">
                                                        <w:pPr>
                                                          <w:spacing w:after="0" w:line="240" w:lineRule="auto"/>
                                                          <w:textDirection w:val="btLr"/>
                                                        </w:pPr>
                                                      </w:p>
                                                    </w:txbxContent>
                                                  </wps:txbx>
                                                  <wps:bodyPr spcFirstLastPara="1" wrap="square" lIns="91425" tIns="91425" rIns="91425" bIns="91425" anchor="ctr" anchorCtr="0">
                                                    <a:noAutofit/>
                                                  </wps:bodyPr>
                                                </wps:wsp>
                                                <wpg:grpSp>
                                                  <wpg:cNvPr id="2067257772" name="Group 2067257772"/>
                                                  <wpg:cNvGrpSpPr/>
                                                  <wpg:grpSpPr>
                                                    <a:xfrm rot="10800000">
                                                      <a:off x="678750" y="2087408"/>
                                                      <a:ext cx="9334500" cy="3385185"/>
                                                      <a:chOff x="-7144" y="-7144"/>
                                                      <a:chExt cx="6005513" cy="1924050"/>
                                                    </a:xfrm>
                                                  </wpg:grpSpPr>
                                                  <wps:wsp>
                                                    <wps:cNvPr id="1726776536" name="Rectangle 1726776536"/>
                                                    <wps:cNvSpPr/>
                                                    <wps:spPr>
                                                      <a:xfrm>
                                                        <a:off x="-7144" y="-7144"/>
                                                        <a:ext cx="6005500" cy="1924050"/>
                                                      </a:xfrm>
                                                      <a:prstGeom prst="rect">
                                                        <a:avLst/>
                                                      </a:prstGeom>
                                                      <a:noFill/>
                                                      <a:ln>
                                                        <a:noFill/>
                                                      </a:ln>
                                                    </wps:spPr>
                                                    <wps:txbx>
                                                      <w:txbxContent>
                                                        <w:p w14:paraId="72EC6FAC" w14:textId="77777777" w:rsidR="009F2F26" w:rsidRDefault="009F2F26">
                                                          <w:pPr>
                                                            <w:spacing w:after="0" w:line="240" w:lineRule="auto"/>
                                                            <w:textDirection w:val="btLr"/>
                                                          </w:pPr>
                                                        </w:p>
                                                      </w:txbxContent>
                                                    </wps:txbx>
                                                    <wps:bodyPr spcFirstLastPara="1" wrap="square" lIns="91425" tIns="91425" rIns="91425" bIns="91425" anchor="ctr" anchorCtr="0">
                                                      <a:noAutofit/>
                                                    </wps:bodyPr>
                                                  </wps:wsp>
                                                  <wps:wsp>
                                                    <wps:cNvPr id="267596056" name="Freeform: Shape 267596056"/>
                                                    <wps:cNvSpPr/>
                                                    <wps:spPr>
                                                      <a:xfrm>
                                                        <a:off x="2121694" y="-7144"/>
                                                        <a:ext cx="3876675" cy="1762125"/>
                                                      </a:xfrm>
                                                      <a:custGeom>
                                                        <a:avLst/>
                                                        <a:gdLst/>
                                                        <a:ahLst/>
                                                        <a:cxnLst/>
                                                        <a:rect l="l" t="t" r="r" b="b"/>
                                                        <a:pathLst>
                                                          <a:path w="3876675" h="1762125" extrusionOk="0">
                                                            <a:moveTo>
                                                              <a:pt x="3869531" y="1359694"/>
                                                            </a:moveTo>
                                                            <a:cubicBezTo>
                                                              <a:pt x="3869531" y="1359694"/>
                                                              <a:pt x="3379946" y="1834039"/>
                                                              <a:pt x="2359819" y="1744504"/>
                                                            </a:cubicBezTo>
                                                            <a:cubicBezTo>
                                                              <a:pt x="1339691" y="1654969"/>
                                                              <a:pt x="936784" y="1180624"/>
                                                              <a:pt x="7144" y="1287304"/>
                                                            </a:cubicBezTo>
                                                            <a:lnTo>
                                                              <a:pt x="7144" y="7144"/>
                                                            </a:lnTo>
                                                            <a:lnTo>
                                                              <a:pt x="3869531" y="7144"/>
                                                            </a:lnTo>
                                                            <a:lnTo>
                                                              <a:pt x="3869531" y="1359694"/>
                                                            </a:lnTo>
                                                            <a:close/>
                                                          </a:path>
                                                        </a:pathLst>
                                                      </a:custGeom>
                                                      <a:gradFill>
                                                        <a:gsLst>
                                                          <a:gs pos="0">
                                                            <a:srgbClr val="00404A"/>
                                                          </a:gs>
                                                          <a:gs pos="50000">
                                                            <a:srgbClr val="005D6B"/>
                                                          </a:gs>
                                                          <a:gs pos="100000">
                                                            <a:srgbClr val="007081"/>
                                                          </a:gs>
                                                        </a:gsLst>
                                                        <a:lin ang="8100000" scaled="0"/>
                                                      </a:gradFill>
                                                      <a:ln>
                                                        <a:noFill/>
                                                      </a:ln>
                                                    </wps:spPr>
                                                    <wps:txbx>
                                                      <w:txbxContent>
                                                        <w:p w14:paraId="51C1C2EE" w14:textId="77777777" w:rsidR="009F2F26" w:rsidRDefault="009F2F26">
                                                          <w:pPr>
                                                            <w:spacing w:after="0" w:line="240" w:lineRule="auto"/>
                                                            <w:textDirection w:val="btLr"/>
                                                          </w:pPr>
                                                        </w:p>
                                                      </w:txbxContent>
                                                    </wps:txbx>
                                                    <wps:bodyPr spcFirstLastPara="1" wrap="square" lIns="91425" tIns="91425" rIns="91425" bIns="91425" anchor="ctr" anchorCtr="0">
                                                      <a:noAutofit/>
                                                    </wps:bodyPr>
                                                  </wps:wsp>
                                                  <wps:wsp>
                                                    <wps:cNvPr id="1117524402" name="Freeform: Shape 1117524402"/>
                                                    <wps:cNvSpPr/>
                                                    <wps:spPr>
                                                      <a:xfrm>
                                                        <a:off x="-7144" y="-7144"/>
                                                        <a:ext cx="6000750" cy="1924050"/>
                                                      </a:xfrm>
                                                      <a:custGeom>
                                                        <a:avLst/>
                                                        <a:gdLst/>
                                                        <a:ahLst/>
                                                        <a:cxnLst/>
                                                        <a:rect l="l" t="t" r="r" b="b"/>
                                                        <a:pathLst>
                                                          <a:path w="6000750" h="1924050" extrusionOk="0">
                                                            <a:moveTo>
                                                              <a:pt x="7144" y="1699736"/>
                                                            </a:moveTo>
                                                            <a:cubicBezTo>
                                                              <a:pt x="7144" y="1699736"/>
                                                              <a:pt x="1410176" y="2317909"/>
                                                              <a:pt x="2934176" y="1484471"/>
                                                            </a:cubicBezTo>
                                                            <a:cubicBezTo>
                                                              <a:pt x="4459129" y="651986"/>
                                                              <a:pt x="5998369" y="893921"/>
                                                              <a:pt x="5998369" y="893921"/>
                                                            </a:cubicBezTo>
                                                            <a:lnTo>
                                                              <a:pt x="5998369" y="7144"/>
                                                            </a:lnTo>
                                                            <a:lnTo>
                                                              <a:pt x="7144" y="7144"/>
                                                            </a:lnTo>
                                                            <a:lnTo>
                                                              <a:pt x="7144" y="1699736"/>
                                                            </a:lnTo>
                                                            <a:close/>
                                                          </a:path>
                                                        </a:pathLst>
                                                      </a:custGeom>
                                                      <a:gradFill>
                                                        <a:gsLst>
                                                          <a:gs pos="0">
                                                            <a:srgbClr val="092442"/>
                                                          </a:gs>
                                                          <a:gs pos="50000">
                                                            <a:srgbClr val="0D3460"/>
                                                          </a:gs>
                                                          <a:gs pos="100000">
                                                            <a:srgbClr val="103F73"/>
                                                          </a:gs>
                                                        </a:gsLst>
                                                        <a:lin ang="16200000" scaled="0"/>
                                                      </a:gradFill>
                                                      <a:ln>
                                                        <a:noFill/>
                                                      </a:ln>
                                                    </wps:spPr>
                                                    <wps:txbx>
                                                      <w:txbxContent>
                                                        <w:p w14:paraId="2DA27F81" w14:textId="77777777" w:rsidR="009F2F26" w:rsidRDefault="009F2F26">
                                                          <w:pPr>
                                                            <w:spacing w:after="0" w:line="240" w:lineRule="auto"/>
                                                            <w:textDirection w:val="btLr"/>
                                                          </w:pPr>
                                                        </w:p>
                                                      </w:txbxContent>
                                                    </wps:txbx>
                                                    <wps:bodyPr spcFirstLastPara="1" wrap="square" lIns="91425" tIns="91425" rIns="91425" bIns="91425" anchor="ctr" anchorCtr="0">
                                                      <a:noAutofit/>
                                                    </wps:bodyPr>
                                                  </wps:wsp>
                                                  <wps:wsp>
                                                    <wps:cNvPr id="754156485" name="Freeform: Shape 754156485"/>
                                                    <wps:cNvSpPr/>
                                                    <wps:spPr>
                                                      <a:xfrm>
                                                        <a:off x="-7144" y="-7144"/>
                                                        <a:ext cx="6000750" cy="904875"/>
                                                      </a:xfrm>
                                                      <a:custGeom>
                                                        <a:avLst/>
                                                        <a:gdLst/>
                                                        <a:ahLst/>
                                                        <a:cxnLst/>
                                                        <a:rect l="l" t="t" r="r" b="b"/>
                                                        <a:pathLst>
                                                          <a:path w="6000750" h="904875" extrusionOk="0">
                                                            <a:moveTo>
                                                              <a:pt x="7144" y="7144"/>
                                                            </a:moveTo>
                                                            <a:lnTo>
                                                              <a:pt x="7144" y="613886"/>
                                                            </a:lnTo>
                                                            <a:cubicBezTo>
                                                              <a:pt x="647224" y="1034891"/>
                                                              <a:pt x="2136934" y="964406"/>
                                                              <a:pt x="3546634" y="574834"/>
                                                            </a:cubicBezTo>
                                                            <a:cubicBezTo>
                                                              <a:pt x="4882039" y="205264"/>
                                                              <a:pt x="5998369" y="893921"/>
                                                              <a:pt x="5998369" y="893921"/>
                                                            </a:cubicBezTo>
                                                            <a:lnTo>
                                                              <a:pt x="5998369" y="7144"/>
                                                            </a:lnTo>
                                                            <a:lnTo>
                                                              <a:pt x="7144" y="7144"/>
                                                            </a:lnTo>
                                                            <a:close/>
                                                          </a:path>
                                                        </a:pathLst>
                                                      </a:custGeom>
                                                      <a:solidFill>
                                                        <a:srgbClr val="00274A"/>
                                                      </a:solidFill>
                                                      <a:ln>
                                                        <a:noFill/>
                                                      </a:ln>
                                                    </wps:spPr>
                                                    <wps:txbx>
                                                      <w:txbxContent>
                                                        <w:p w14:paraId="47E310A2" w14:textId="77777777" w:rsidR="009F2F26" w:rsidRDefault="009F2F26">
                                                          <w:pPr>
                                                            <w:spacing w:after="0" w:line="240" w:lineRule="auto"/>
                                                            <w:textDirection w:val="btLr"/>
                                                          </w:pPr>
                                                        </w:p>
                                                      </w:txbxContent>
                                                    </wps:txbx>
                                                    <wps:bodyPr spcFirstLastPara="1" wrap="square" lIns="91425" tIns="91425" rIns="91425" bIns="91425" anchor="ctr" anchorCtr="0">
                                                      <a:noAutofit/>
                                                    </wps:bodyPr>
                                                  </wps:wsp>
                                                  <wps:wsp>
                                                    <wps:cNvPr id="1874086989" name="Freeform: Shape 1874086989"/>
                                                    <wps:cNvSpPr/>
                                                    <wps:spPr>
                                                      <a:xfrm>
                                                        <a:off x="3176111" y="924401"/>
                                                        <a:ext cx="2819400" cy="828675"/>
                                                      </a:xfrm>
                                                      <a:custGeom>
                                                        <a:avLst/>
                                                        <a:gdLst/>
                                                        <a:ahLst/>
                                                        <a:cxnLst/>
                                                        <a:rect l="l" t="t" r="r" b="b"/>
                                                        <a:pathLst>
                                                          <a:path w="2819400" h="828675" extrusionOk="0">
                                                            <a:moveTo>
                                                              <a:pt x="7144" y="481489"/>
                                                            </a:moveTo>
                                                            <a:cubicBezTo>
                                                              <a:pt x="380524" y="602456"/>
                                                              <a:pt x="751999" y="764381"/>
                                                              <a:pt x="1305401" y="812959"/>
                                                            </a:cubicBezTo>
                                                            <a:cubicBezTo>
                                                              <a:pt x="2325529" y="902494"/>
                                                              <a:pt x="2815114" y="428149"/>
                                                              <a:pt x="2815114" y="428149"/>
                                                            </a:cubicBezTo>
                                                            <a:lnTo>
                                                              <a:pt x="2815114" y="7144"/>
                                                            </a:lnTo>
                                                            <a:cubicBezTo>
                                                              <a:pt x="2332196" y="236696"/>
                                                              <a:pt x="1376839" y="568166"/>
                                                              <a:pt x="7144" y="481489"/>
                                                            </a:cubicBezTo>
                                                            <a:close/>
                                                          </a:path>
                                                        </a:pathLst>
                                                      </a:custGeom>
                                                      <a:solidFill>
                                                        <a:srgbClr val="006A78"/>
                                                      </a:solidFill>
                                                      <a:ln>
                                                        <a:noFill/>
                                                      </a:ln>
                                                    </wps:spPr>
                                                    <wps:txbx>
                                                      <w:txbxContent>
                                                        <w:p w14:paraId="00C5ED98" w14:textId="77777777" w:rsidR="009F2F26" w:rsidRDefault="009F2F26">
                                                          <w:pPr>
                                                            <w:spacing w:after="0" w:line="240" w:lineRule="auto"/>
                                                            <w:textDirection w:val="btLr"/>
                                                          </w:pPr>
                                                        </w:p>
                                                      </w:txbxContent>
                                                    </wps:txbx>
                                                    <wps:bodyPr spcFirstLastPara="1" wrap="square" lIns="91425" tIns="91425" rIns="91425" bIns="91425" anchor="ctr" anchorCtr="0">
                                                      <a:noAutofit/>
                                                    </wps:bodyPr>
                                                  </wps:wsp>
                                                </wpg:grpSp>
                                              </wpg:grpSp>
                                            </wpg:grpSp>
                                          </wpg:grpSp>
                                        </wpg:grpSp>
                                      </wpg:grpSp>
                                    </wpg:grpSp>
                                  </wpg:grpSp>
                                </wpg:grpSp>
                              </wpg:grpSp>
                            </wpg:grpSp>
                          </wpg:grpSp>
                        </wpg:grpSp>
                      </wpg:grpSp>
                    </wpg:grpSp>
                  </wpg:wgp>
                </a:graphicData>
              </a:graphic>
            </wp:anchor>
          </w:drawing>
        </mc:Choice>
        <mc:Fallback>
          <w:pict>
            <v:group w14:anchorId="5E435BF2" id="Group 1903986584" o:spid="_x0000_s1026" style="position:absolute;margin-left:-158pt;margin-top:-19pt;width:735pt;height:266.55pt;z-index:-251657216;mso-wrap-distance-left:0;mso-wrap-distance-right:0" coordorigin="6787,20874" coordsize="93345,338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">
              <v:group id="Group 703849320" o:spid="_x0000_s1027"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">
                <v:rect id="Rectangle 217331254" o:spid="_x0000_s1028"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" filled="f" stroked="f">
                  <v:textbox inset="2.53958mm,2.53958mm,2.53958mm,2.53958mm">
                    <w:txbxContent>
                      <w:p w14:paraId="5041E385" w14:textId="77777777" w:rsidR="009F2F26" w:rsidRDefault="009F2F26">
                        <w:pPr>
                          <w:spacing w:after="0" w:line="240" w:lineRule="auto"/>
                          <w:textDirection w:val="btLr"/>
                        </w:pPr>
                      </w:p>
                    </w:txbxContent>
                  </v:textbox>
                </v:rect>
                <v:group id="Group 962732741" o:spid="_x0000_s1029"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">
                  <v:rect id="Rectangle 1577381289" o:spid="_x0000_s1030"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" filled="f" stroked="f">
                    <v:textbox inset="2.53958mm,2.53958mm,2.53958mm,2.53958mm">
                      <w:txbxContent>
                        <w:p w14:paraId="57E12B78" w14:textId="77777777" w:rsidR="009F2F26" w:rsidRDefault="009F2F26">
                          <w:pPr>
                            <w:spacing w:after="0" w:line="240" w:lineRule="auto"/>
                            <w:textDirection w:val="btLr"/>
                          </w:pPr>
                        </w:p>
                      </w:txbxContent>
                    </v:textbox>
                  </v:rect>
                  <v:group id="Group 187576302" o:spid="_x0000_s1031"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">
                    <v:rect id="Rectangle 1034247712" o:spid="_x0000_s1032"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" filled="f" stroked="f">
                      <v:textbox inset="2.53958mm,2.53958mm,2.53958mm,2.53958mm">
                        <w:txbxContent>
                          <w:p w14:paraId="5CD9FC94" w14:textId="77777777" w:rsidR="009F2F26" w:rsidRDefault="009F2F26">
                            <w:pPr>
                              <w:spacing w:after="0" w:line="240" w:lineRule="auto"/>
                              <w:textDirection w:val="btLr"/>
                            </w:pPr>
                          </w:p>
                        </w:txbxContent>
                      </v:textbox>
                    </v:rect>
                    <v:group id="Group 2031036228" o:spid="_x0000_s1033"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">
                      <v:rect id="Rectangle 360950920" o:spid="_x0000_s1034"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" filled="f" stroked="f">
                        <v:textbox inset="2.53958mm,2.53958mm,2.53958mm,2.53958mm">
                          <w:txbxContent>
                            <w:p w14:paraId="055C6480" w14:textId="77777777" w:rsidR="009F2F26" w:rsidRDefault="009F2F26">
                              <w:pPr>
                                <w:spacing w:after="0" w:line="240" w:lineRule="auto"/>
                                <w:textDirection w:val="btLr"/>
                              </w:pPr>
                            </w:p>
                          </w:txbxContent>
                        </v:textbox>
                      </v:rect>
                      <v:group id="Group 174129222" o:spid="_x0000_s1035"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">
                        <v:rect id="Rectangle 1155408343" o:spid="_x0000_s1036"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" filled="f" stroked="f">
                          <v:textbox inset="2.53958mm,2.53958mm,2.53958mm,2.53958mm">
                            <w:txbxContent>
                              <w:p w14:paraId="384C4C57" w14:textId="77777777" w:rsidR="009F2F26" w:rsidRDefault="009F2F26">
                                <w:pPr>
                                  <w:spacing w:after="0" w:line="240" w:lineRule="auto"/>
                                  <w:textDirection w:val="btLr"/>
                                </w:pPr>
                              </w:p>
                            </w:txbxContent>
                          </v:textbox>
                        </v:rect>
                        <v:group id="Group 1654202145" o:spid="_x0000_s1037"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">
                          <v:rect id="Rectangle 2137075170" o:spid="_x0000_s1038"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" filled="f" stroked="f">
                            <v:textbox inset="2.53958mm,2.53958mm,2.53958mm,2.53958mm">
                              <w:txbxContent>
                                <w:p w14:paraId="0380B507" w14:textId="77777777" w:rsidR="009F2F26" w:rsidRDefault="009F2F26">
                                  <w:pPr>
                                    <w:spacing w:after="0" w:line="240" w:lineRule="auto"/>
                                    <w:textDirection w:val="btLr"/>
                                  </w:pPr>
                                </w:p>
                              </w:txbxContent>
                            </v:textbox>
                          </v:rect>
                          <v:group id="Group 1120046747" o:spid="_x0000_s1039"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">
                            <v:rect id="Rectangle 2009741063" o:spid="_x0000_s1040"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" filled="f" stroked="f">
                              <v:textbox inset="2.53958mm,2.53958mm,2.53958mm,2.53958mm">
                                <w:txbxContent>
                                  <w:p w14:paraId="483BC582" w14:textId="77777777" w:rsidR="009F2F26" w:rsidRDefault="009F2F26">
                                    <w:pPr>
                                      <w:spacing w:after="0" w:line="240" w:lineRule="auto"/>
                                      <w:textDirection w:val="btLr"/>
                                    </w:pPr>
                                  </w:p>
                                </w:txbxContent>
                              </v:textbox>
                            </v:rect>
                            <v:group id="Group 1172010216" o:spid="_x0000_s1041"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">
                              <v:rect id="Rectangle 258169549" o:spid="_x0000_s1042"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" filled="f" stroked="f">
                                <v:textbox inset="2.53958mm,2.53958mm,2.53958mm,2.53958mm">
                                  <w:txbxContent>
                                    <w:p w14:paraId="156BE49C" w14:textId="77777777" w:rsidR="009F2F26" w:rsidRDefault="009F2F26">
                                      <w:pPr>
                                        <w:spacing w:after="0" w:line="240" w:lineRule="auto"/>
                                        <w:textDirection w:val="btLr"/>
                                      </w:pPr>
                                    </w:p>
                                  </w:txbxContent>
                                </v:textbox>
                              </v:rect>
                              <v:group id="Group 1660092197" o:spid="_x0000_s1043"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">
                                <v:rect id="Rectangle 827759922" o:spid="_x0000_s1044"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" filled="f" stroked="f">
                                  <v:textbox inset="2.53958mm,2.53958mm,2.53958mm,2.53958mm">
                                    <w:txbxContent>
                                      <w:p w14:paraId="67078D49" w14:textId="77777777" w:rsidR="009F2F26" w:rsidRDefault="009F2F26">
                                        <w:pPr>
                                          <w:spacing w:after="0" w:line="240" w:lineRule="auto"/>
                                          <w:textDirection w:val="btLr"/>
                                        </w:pPr>
                                      </w:p>
                                    </w:txbxContent>
                                  </v:textbox>
                                </v:rect>
                                <v:group id="Group 953606277" o:spid="_x0000_s1045"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">
                                  <v:rect id="Rectangle 1097043804" o:spid="_x0000_s1046"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" filled="f" stroked="f">
                                    <v:textbox inset="2.53958mm,2.53958mm,2.53958mm,2.53958mm">
                                      <w:txbxContent>
                                        <w:p w14:paraId="28961181" w14:textId="77777777" w:rsidR="009F2F26" w:rsidRDefault="009F2F26">
                                          <w:pPr>
                                            <w:spacing w:after="0" w:line="240" w:lineRule="auto"/>
                                            <w:textDirection w:val="btLr"/>
                                          </w:pPr>
                                        </w:p>
                                      </w:txbxContent>
                                    </v:textbox>
                                  </v:rect>
                                  <v:group id="Group 1246181644" o:spid="_x0000_s1047"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">
                                    <v:rect id="Rectangle 613893782" o:spid="_x0000_s1048"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" filled="f" stroked="f">
                                      <v:textbox inset="2.53958mm,2.53958mm,2.53958mm,2.53958mm">
                                        <w:txbxContent>
                                          <w:p w14:paraId="13941F7F" w14:textId="77777777" w:rsidR="009F2F26" w:rsidRDefault="009F2F26">
                                            <w:pPr>
                                              <w:spacing w:after="0" w:line="240" w:lineRule="auto"/>
                                              <w:textDirection w:val="btLr"/>
                                            </w:pPr>
                                          </w:p>
                                        </w:txbxContent>
                                      </v:textbox>
                                    </v:rect>
                                    <v:group id="Group 1870553927" o:spid="_x0000_s1049"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">
                                      <v:rect id="Rectangle 1661707212" o:spid="_x0000_s1050"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" filled="f" stroked="f">
                                        <v:textbox inset="2.53958mm,2.53958mm,2.53958mm,2.53958mm">
                                          <w:txbxContent>
                                            <w:p w14:paraId="097C7D9A" w14:textId="77777777" w:rsidR="009F2F26" w:rsidRDefault="009F2F26">
                                              <w:pPr>
                                                <w:spacing w:after="0" w:line="240" w:lineRule="auto"/>
                                                <w:textDirection w:val="btLr"/>
                                              </w:pPr>
                                            </w:p>
                                          </w:txbxContent>
                                        </v:textbox>
                                      </v:rect>
                                      <v:group id="Group 1904029516" o:spid="_x0000_s1051"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">
                                        <v:rect id="Rectangle 287400650" o:spid="_x0000_s1052"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" filled="f" stroked="f">
                                          <v:textbox inset="2.53958mm,2.53958mm,2.53958mm,2.53958mm">
                                            <w:txbxContent>
                                              <w:p w14:paraId="677C1093" w14:textId="77777777" w:rsidR="009F2F26" w:rsidRDefault="009F2F26">
                                                <w:pPr>
                                                  <w:spacing w:after="0" w:line="240" w:lineRule="auto"/>
                                                  <w:textDirection w:val="btLr"/>
                                                </w:pPr>
                                              </w:p>
                                            </w:txbxContent>
                                          </v:textbox>
                                        </v:rect>
                                        <v:group id="Group 394005140" o:spid="_x0000_s1053"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">
                                          <v:rect id="Rectangle 1962681977" o:spid="_x0000_s1054"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" filled="f" stroked="f">
                                            <v:textbox inset="2.53958mm,2.53958mm,2.53958mm,2.53958mm">
                                              <w:txbxContent>
                                                <w:p w14:paraId="6D23E066" w14:textId="77777777" w:rsidR="009F2F26" w:rsidRDefault="009F2F26">
                                                  <w:pPr>
                                                    <w:spacing w:after="0" w:line="240" w:lineRule="auto"/>
                                                    <w:textDirection w:val="btLr"/>
                                                  </w:pPr>
                                                </w:p>
                                              </w:txbxContent>
                                            </v:textbox>
                                          </v:rect>
                                          <v:group id="Group 2067257772" o:spid="_x0000_s1055" style="position:absolute;left:6787;top:20874;width:93345;height:33851;rotation:180" coordorigin="-71,-71" coordsize="60055,19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">
                                            <v:rect id="Rectangle 1726776536" o:spid="_x0000_s1056" style="position:absolute;left:-71;top:-71;width:60054;height:192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" filled="f" stroked="f">
                                              <v:textbox inset="2.53958mm,2.53958mm,2.53958mm,2.53958mm">
                                                <w:txbxContent>
                                                  <w:p w14:paraId="72EC6FAC" w14:textId="77777777" w:rsidR="009F2F26" w:rsidRDefault="009F2F26">
                                                    <w:pPr>
                                                      <w:spacing w:after="0" w:line="240" w:lineRule="auto"/>
                                                      <w:textDirection w:val="btLr"/>
                                                    </w:pPr>
                                                  </w:p>
                                                </w:txbxContent>
                                              </v:textbox>
                                            </v:rect>
                                            <v:shape id="Freeform: Shape 267596056" o:spid="_x0000_s1057" style="position:absolute;left:21216;top:-71;width:38767;height:17620;visibility:visible;mso-wrap-style:square;v-text-anchor:middle" coordsize="3876675,176212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" adj="-11796480,,5400" path="m3869531,1359694v,,-489585,474345,-1509712,384810c1339691,1654969,936784,1180624,7144,1287304l7144,7144r3862387,l3869531,1359694xe" fillcolor="#00404a" stroked="f">
                                              <v:fill color2="#007081" angle="315" colors="0 #00404a;.5 #005d6b;1 #007081" focus="100%" type="gradient">
                                                <o:fill v:ext="view" type="gradientUnscaled"/>
                                              </v:fill>
                                              <v:stroke joinstyle="miter"/>
                                              <v:formulas/>
                                              <v:path arrowok="t" o:extrusionok="f" o:connecttype="custom" textboxrect="0,0,3876675,1762125"/>
                                              <v:textbox inset="2.53958mm,2.53958mm,2.53958mm,2.53958mm">
                                                <w:txbxContent>
                                                  <w:p w14:paraId="51C1C2EE" w14:textId="77777777" w:rsidR="009F2F26" w:rsidRDefault="009F2F26">
                                                    <w:pPr>
                                                      <w:spacing w:after="0" w:line="240" w:lineRule="auto"/>
                                                      <w:textDirection w:val="btLr"/>
                                                    </w:pPr>
                                                  </w:p>
                                                </w:txbxContent>
                                              </v:textbox>
                                            </v:shape>
                                            <v:shape id="Freeform: Shape 1117524402" o:spid="_x0000_s1058" style="position:absolute;left:-71;top:-71;width:60007;height:19240;visibility:visible;mso-wrap-style:square;v-text-anchor:middle" coordsize="6000750,19240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" adj="-11796480,,5400" path="m7144,1699736v,,1403032,618173,2927032,-215265c4459129,651986,5998369,893921,5998369,893921r,-886777l7144,7144r,1692592xe" fillcolor="#092442" stroked="f">
                                              <v:fill color2="#103f73" angle="180" colors="0 #092442;.5 #0d3460;1 #103f73" focus="100%" type="gradient">
                                                <o:fill v:ext="view" type="gradientUnscaled"/>
                                              </v:fill>
                                              <v:stroke joinstyle="miter"/>
                                              <v:formulas/>
                                              <v:path arrowok="t" o:extrusionok="f" o:connecttype="custom" textboxrect="0,0,6000750,1924050"/>
                                              <v:textbox inset="2.53958mm,2.53958mm,2.53958mm,2.53958mm">
                                                <w:txbxContent>
                                                  <w:p w14:paraId="2DA27F81" w14:textId="77777777" w:rsidR="009F2F26" w:rsidRDefault="009F2F26">
                                                    <w:pPr>
                                                      <w:spacing w:after="0" w:line="240" w:lineRule="auto"/>
                                                      <w:textDirection w:val="btLr"/>
                                                    </w:pPr>
                                                  </w:p>
                                                </w:txbxContent>
                                              </v:textbox>
                                            </v:shape>
                                            <v:shape id="Freeform: Shape 754156485" o:spid="_x0000_s1059" style="position:absolute;left:-71;top:-71;width:60007;height:9048;visibility:visible;mso-wrap-style:square;v-text-anchor:middle" coordsize="6000750,90487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" adj="-11796480,,5400" path="m7144,7144r,606742c647224,1034891,2136934,964406,3546634,574834,4882039,205264,5998369,893921,5998369,893921r,-886777l7144,7144xe" fillcolor="#00274a" stroked="f">
                                              <v:stroke joinstyle="miter"/>
                                              <v:formulas/>
                                              <v:path arrowok="t" o:extrusionok="f" o:connecttype="custom" textboxrect="0,0,6000750,904875"/>
                                              <v:textbox inset="2.53958mm,2.53958mm,2.53958mm,2.53958mm">
                                                <w:txbxContent>
                                                  <w:p w14:paraId="47E310A2" w14:textId="77777777" w:rsidR="009F2F26" w:rsidRDefault="009F2F26">
                                                    <w:pPr>
                                                      <w:spacing w:after="0" w:line="240" w:lineRule="auto"/>
                                                      <w:textDirection w:val="btLr"/>
                                                    </w:pPr>
                                                  </w:p>
                                                </w:txbxContent>
                                              </v:textbox>
                                            </v:shape>
                                            <v:shape id="Freeform: Shape 1874086989" o:spid="_x0000_s1060" style="position:absolute;left:31761;top:9244;width:28194;height:8286;visibility:visible;mso-wrap-style:square;v-text-anchor:middle" coordsize="2819400,82867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" adj="-11796480,,5400" path="m7144,481489c380524,602456,751999,764381,1305401,812959,2325529,902494,2815114,428149,2815114,428149r,-421005c2332196,236696,1376839,568166,7144,481489xe" fillcolor="#006a78" stroked="f">
                                              <v:stroke joinstyle="miter"/>
                                              <v:formulas/>
                                              <v:path arrowok="t" o:extrusionok="f" o:connecttype="custom" textboxrect="0,0,2819400,828675"/>
                                              <v:textbox inset="2.53958mm,2.53958mm,2.53958mm,2.53958mm">
                                                <w:txbxContent>
                                                  <w:p w14:paraId="00C5ED98" w14:textId="77777777" w:rsidR="009F2F26" w:rsidRDefault="009F2F26">
                                                    <w:pPr>
                                                      <w:spacing w:after="0" w:line="240" w:lineRule="auto"/>
                                                      <w:textDirection w:val="btLr"/>
                                                    </w:pPr>
                                                  </w:p>
                                                </w:txbxContent>
                                              </v:textbox>
                                            </v:shape>
                                          </v:group>
                                        </v:group>
                                      </v:group>
                                    </v:group>
                                  </v:group>
                                </v:group>
                              </v:group>
                            </v:group>
                          </v:group>
                        </v:group>
                      </v:group>
                    </v:group>
                  </v:group>
                </v:group>
              </v:group>
            </v:group>
          </w:pict>
        </mc:Fallback>
      </mc:AlternateContent>
    </w:r>
  </w:p>
  <w:p w14:paraId="18D4F0F9" w14:textId="77777777" w:rsidR="009F2F26" w:rsidRDefault="00000000">
    <w:r>
      <w:rPr>
        <w:noProof/>
      </w:rPr>
      <w:drawing>
        <wp:anchor distT="0" distB="0" distL="114300" distR="114300" simplePos="0" relativeHeight="251660288" behindDoc="0" locked="0" layoutInCell="1" hidden="0" allowOverlap="1" wp14:anchorId="6BED10EA" wp14:editId="00AEE2DD">
          <wp:simplePos x="0" y="0"/>
          <wp:positionH relativeFrom="column">
            <wp:posOffset>3164840</wp:posOffset>
          </wp:positionH>
          <wp:positionV relativeFrom="paragraph">
            <wp:posOffset>26669</wp:posOffset>
          </wp:positionV>
          <wp:extent cx="3515995" cy="895985"/>
          <wp:effectExtent l="0" t="0" r="0" b="0"/>
          <wp:wrapNone/>
          <wp:docPr id="1903986587" name="image2.png" descr="HDRN Canada Logo"/>
          <wp:cNvGraphicFramePr/>
          <a:graphic xmlns:a="http://schemas.openxmlformats.org/drawingml/2006/main">
            <a:graphicData uri="http://schemas.openxmlformats.org/drawingml/2006/picture">
              <pic:pic xmlns:pic="http://schemas.openxmlformats.org/drawingml/2006/picture">
                <pic:nvPicPr>
                  <pic:cNvPr id="0" name="image2.png" descr="HDRN Canada Logo"/>
                  <pic:cNvPicPr preferRelativeResize="0"/>
                </pic:nvPicPr>
                <pic:blipFill>
                  <a:blip r:embed="rId1"/>
                  <a:srcRect l="3376" r="3638"/>
                  <a:stretch>
                    <a:fillRect/>
                  </a:stretch>
                </pic:blipFill>
                <pic:spPr>
                  <a:xfrm>
                    <a:off x="0" y="0"/>
                    <a:ext cx="3515995" cy="895985"/>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04007B" w14:textId="77777777" w:rsidR="0059779C" w:rsidRDefault="0059779C">
      <w:pPr>
        <w:spacing w:after="0" w:line="240" w:lineRule="auto"/>
      </w:pPr>
      <w:r>
        <w:separator/>
      </w:r>
    </w:p>
  </w:footnote>
  <w:footnote w:type="continuationSeparator" w:id="0">
    <w:p w14:paraId="02660204" w14:textId="77777777" w:rsidR="0059779C" w:rsidRDefault="005977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A2D63"/>
    <w:multiLevelType w:val="multilevel"/>
    <w:tmpl w:val="C376FA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44F7A9D"/>
    <w:multiLevelType w:val="multilevel"/>
    <w:tmpl w:val="3F5AB1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970430E"/>
    <w:multiLevelType w:val="multilevel"/>
    <w:tmpl w:val="4A868F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A772705"/>
    <w:multiLevelType w:val="multilevel"/>
    <w:tmpl w:val="456243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5A057FB"/>
    <w:multiLevelType w:val="multilevel"/>
    <w:tmpl w:val="F0C67F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CA04CC4"/>
    <w:multiLevelType w:val="multilevel"/>
    <w:tmpl w:val="951827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EB37664"/>
    <w:multiLevelType w:val="multilevel"/>
    <w:tmpl w:val="C28862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1ECD62AC"/>
    <w:multiLevelType w:val="multilevel"/>
    <w:tmpl w:val="4C1AE2E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16C5C6B"/>
    <w:multiLevelType w:val="multilevel"/>
    <w:tmpl w:val="88DCFE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26955AB"/>
    <w:multiLevelType w:val="multilevel"/>
    <w:tmpl w:val="790AFA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235B013A"/>
    <w:multiLevelType w:val="multilevel"/>
    <w:tmpl w:val="57FE29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24D232AE"/>
    <w:multiLevelType w:val="multilevel"/>
    <w:tmpl w:val="EFA8B3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25B541BB"/>
    <w:multiLevelType w:val="multilevel"/>
    <w:tmpl w:val="AB4635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37F8643D"/>
    <w:multiLevelType w:val="multilevel"/>
    <w:tmpl w:val="A9303D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3CDF6E75"/>
    <w:multiLevelType w:val="multilevel"/>
    <w:tmpl w:val="877E4F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3E230BFA"/>
    <w:multiLevelType w:val="multilevel"/>
    <w:tmpl w:val="43B03C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3E5201D6"/>
    <w:multiLevelType w:val="multilevel"/>
    <w:tmpl w:val="3B6E49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49452201"/>
    <w:multiLevelType w:val="multilevel"/>
    <w:tmpl w:val="52342E4A"/>
    <w:lvl w:ilvl="0">
      <w:start w:val="1"/>
      <w:numFmt w:val="bullet"/>
      <w:lvlText w:val="●"/>
      <w:lvlJc w:val="left"/>
      <w:pPr>
        <w:ind w:left="361" w:hanging="361"/>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4A8B0D09"/>
    <w:multiLevelType w:val="multilevel"/>
    <w:tmpl w:val="64625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557528F2"/>
    <w:multiLevelType w:val="multilevel"/>
    <w:tmpl w:val="F83E2B6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57DE1A91"/>
    <w:multiLevelType w:val="multilevel"/>
    <w:tmpl w:val="A82061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617467F3"/>
    <w:multiLevelType w:val="multilevel"/>
    <w:tmpl w:val="2FF4F8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620B1077"/>
    <w:multiLevelType w:val="multilevel"/>
    <w:tmpl w:val="96687A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63AD2AB8"/>
    <w:multiLevelType w:val="multilevel"/>
    <w:tmpl w:val="03FC3D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66C85FE0"/>
    <w:multiLevelType w:val="multilevel"/>
    <w:tmpl w:val="E0A0E4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6E131146"/>
    <w:multiLevelType w:val="multilevel"/>
    <w:tmpl w:val="A776F7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798663A6"/>
    <w:multiLevelType w:val="multilevel"/>
    <w:tmpl w:val="3C4448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7A195D5F"/>
    <w:multiLevelType w:val="multilevel"/>
    <w:tmpl w:val="B0FA1D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766881053">
    <w:abstractNumId w:val="6"/>
  </w:num>
  <w:num w:numId="2" w16cid:durableId="401948026">
    <w:abstractNumId w:val="23"/>
  </w:num>
  <w:num w:numId="3" w16cid:durableId="519398316">
    <w:abstractNumId w:val="21"/>
  </w:num>
  <w:num w:numId="4" w16cid:durableId="1163397209">
    <w:abstractNumId w:val="11"/>
  </w:num>
  <w:num w:numId="5" w16cid:durableId="1159924575">
    <w:abstractNumId w:val="19"/>
  </w:num>
  <w:num w:numId="6" w16cid:durableId="2025204569">
    <w:abstractNumId w:val="2"/>
  </w:num>
  <w:num w:numId="7" w16cid:durableId="1592006509">
    <w:abstractNumId w:val="14"/>
  </w:num>
  <w:num w:numId="8" w16cid:durableId="93324775">
    <w:abstractNumId w:val="4"/>
  </w:num>
  <w:num w:numId="9" w16cid:durableId="62070970">
    <w:abstractNumId w:val="27"/>
  </w:num>
  <w:num w:numId="10" w16cid:durableId="474104038">
    <w:abstractNumId w:val="3"/>
  </w:num>
  <w:num w:numId="11" w16cid:durableId="39398982">
    <w:abstractNumId w:val="24"/>
  </w:num>
  <w:num w:numId="12" w16cid:durableId="130171894">
    <w:abstractNumId w:val="12"/>
  </w:num>
  <w:num w:numId="13" w16cid:durableId="1092315958">
    <w:abstractNumId w:val="13"/>
  </w:num>
  <w:num w:numId="14" w16cid:durableId="1596012424">
    <w:abstractNumId w:val="26"/>
  </w:num>
  <w:num w:numId="15" w16cid:durableId="1071659791">
    <w:abstractNumId w:val="8"/>
  </w:num>
  <w:num w:numId="16" w16cid:durableId="1290937574">
    <w:abstractNumId w:val="0"/>
  </w:num>
  <w:num w:numId="17" w16cid:durableId="1293248236">
    <w:abstractNumId w:val="9"/>
  </w:num>
  <w:num w:numId="18" w16cid:durableId="1713142590">
    <w:abstractNumId w:val="20"/>
  </w:num>
  <w:num w:numId="19" w16cid:durableId="1927415991">
    <w:abstractNumId w:val="17"/>
  </w:num>
  <w:num w:numId="20" w16cid:durableId="1495875330">
    <w:abstractNumId w:val="1"/>
  </w:num>
  <w:num w:numId="21" w16cid:durableId="165171162">
    <w:abstractNumId w:val="10"/>
  </w:num>
  <w:num w:numId="22" w16cid:durableId="1776171084">
    <w:abstractNumId w:val="15"/>
  </w:num>
  <w:num w:numId="23" w16cid:durableId="1088187998">
    <w:abstractNumId w:val="18"/>
  </w:num>
  <w:num w:numId="24" w16cid:durableId="2083214518">
    <w:abstractNumId w:val="7"/>
  </w:num>
  <w:num w:numId="25" w16cid:durableId="1627077737">
    <w:abstractNumId w:val="5"/>
  </w:num>
  <w:num w:numId="26" w16cid:durableId="743260858">
    <w:abstractNumId w:val="25"/>
  </w:num>
  <w:num w:numId="27" w16cid:durableId="781456513">
    <w:abstractNumId w:val="22"/>
  </w:num>
  <w:num w:numId="28" w16cid:durableId="60701168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2F26"/>
    <w:rsid w:val="004E6E94"/>
    <w:rsid w:val="0059779C"/>
    <w:rsid w:val="005A712A"/>
    <w:rsid w:val="009F2F2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058266"/>
  <w15:docId w15:val="{DBC0A292-E625-4802-8E37-8238D51558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fr-CA" w:eastAsia="en-CA" w:bidi="ar-SA"/>
      </w:rPr>
    </w:rPrDefault>
    <w:pPrDefault>
      <w:pPr>
        <w:spacing w:after="16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after="120" w:line="276" w:lineRule="auto"/>
      <w:outlineLvl w:val="0"/>
    </w:pPr>
    <w:rPr>
      <w:rFonts w:ascii="Lato" w:eastAsia="Lato" w:hAnsi="Lato" w:cs="Lato"/>
      <w:b/>
      <w:bCs/>
      <w:color w:val="006A78"/>
      <w:sz w:val="36"/>
      <w:szCs w:val="36"/>
    </w:rPr>
  </w:style>
  <w:style w:type="paragraph" w:styleId="Heading2">
    <w:name w:val="heading 2"/>
    <w:basedOn w:val="Normal"/>
    <w:next w:val="Normal"/>
    <w:link w:val="Heading2Char"/>
    <w:uiPriority w:val="9"/>
    <w:unhideWhenUsed/>
    <w:qFormat/>
    <w:pPr>
      <w:keepNext/>
      <w:keepLines/>
      <w:tabs>
        <w:tab w:val="left" w:pos="461"/>
      </w:tabs>
      <w:spacing w:after="120" w:line="276" w:lineRule="auto"/>
      <w:outlineLvl w:val="1"/>
    </w:pPr>
    <w:rPr>
      <w:rFonts w:ascii="Lato" w:eastAsia="Lato" w:hAnsi="Lato" w:cs="Lato"/>
      <w:b/>
      <w:bCs/>
      <w:color w:val="002649"/>
      <w:sz w:val="28"/>
      <w:szCs w:val="28"/>
    </w:rPr>
  </w:style>
  <w:style w:type="paragraph" w:styleId="Heading3">
    <w:name w:val="heading 3"/>
    <w:basedOn w:val="Normal"/>
    <w:next w:val="Normal"/>
    <w:link w:val="Heading3Char"/>
    <w:uiPriority w:val="9"/>
    <w:unhideWhenUsed/>
    <w:qFormat/>
    <w:pPr>
      <w:keepNext/>
      <w:keepLines/>
      <w:spacing w:after="0"/>
      <w:outlineLvl w:val="2"/>
    </w:pPr>
    <w:rPr>
      <w:rFonts w:ascii="Lato" w:eastAsia="Lato" w:hAnsi="Lato" w:cs="Lato"/>
      <w:color w:val="006A78"/>
      <w:sz w:val="28"/>
      <w:szCs w:val="28"/>
    </w:rPr>
  </w:style>
  <w:style w:type="paragraph" w:styleId="Heading4">
    <w:name w:val="heading 4"/>
    <w:basedOn w:val="Normal"/>
    <w:next w:val="Normal"/>
    <w:link w:val="Heading4Char"/>
    <w:uiPriority w:val="9"/>
    <w:semiHidden/>
    <w:unhideWhenUsed/>
    <w:qFormat/>
    <w:pPr>
      <w:outlineLvl w:val="3"/>
    </w:pPr>
    <w:rPr>
      <w:i/>
      <w:iCs/>
    </w:rPr>
  </w:style>
  <w:style w:type="paragraph" w:styleId="Heading5">
    <w:name w:val="heading 5"/>
    <w:basedOn w:val="Normal"/>
    <w:next w:val="Normal"/>
    <w:link w:val="Heading5Char"/>
    <w:uiPriority w:val="9"/>
    <w:semiHidden/>
    <w:unhideWhenUsed/>
    <w:qFormat/>
    <w:pPr>
      <w:ind w:left="360"/>
      <w:outlineLvl w:val="4"/>
    </w:pPr>
    <w:rPr>
      <w:i/>
      <w:iCs/>
      <w:color w:val="006A78"/>
    </w:rPr>
  </w:style>
  <w:style w:type="paragraph" w:styleId="Heading6">
    <w:name w:val="heading 6"/>
    <w:basedOn w:val="Normal"/>
    <w:next w:val="Normal"/>
    <w:link w:val="Heading6Char"/>
    <w:uiPriority w:val="9"/>
    <w:semiHidden/>
    <w:unhideWhenUsed/>
    <w:qFormat/>
    <w:pPr>
      <w:ind w:left="361" w:hanging="361"/>
      <w:outlineLvl w:val="5"/>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0" w:line="240" w:lineRule="auto"/>
    </w:pPr>
    <w:rPr>
      <w:rFonts w:ascii="Lato" w:eastAsia="Lato" w:hAnsi="Lato" w:cs="Lato"/>
      <w:b/>
      <w:bCs/>
      <w:color w:val="002060"/>
      <w:sz w:val="44"/>
      <w:szCs w:val="44"/>
    </w:r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0" w:type="dxa"/>
        <w:left w:w="0" w:type="dxa"/>
        <w:bottom w:w="0" w:type="dxa"/>
        <w:right w:w="0" w:type="dxa"/>
      </w:tblCellMar>
    </w:tblPr>
  </w:style>
  <w:style w:type="table" w:customStyle="1" w:styleId="TableNormal3">
    <w:name w:val="TableNormal"/>
    <w:tblPr>
      <w:tblCellMar>
        <w:top w:w="0" w:type="dxa"/>
        <w:left w:w="0" w:type="dxa"/>
        <w:bottom w:w="0" w:type="dxa"/>
        <w:right w:w="0" w:type="dxa"/>
      </w:tblCellMar>
    </w:tblPr>
  </w:style>
  <w:style w:type="table" w:customStyle="1" w:styleId="TableNormal4">
    <w:name w:val="TableNormal"/>
    <w:tblPr>
      <w:tblCellMar>
        <w:top w:w="0" w:type="dxa"/>
        <w:left w:w="0" w:type="dxa"/>
        <w:bottom w:w="0" w:type="dxa"/>
        <w:right w:w="0" w:type="dxa"/>
      </w:tblCellMar>
    </w:tblPr>
  </w:style>
  <w:style w:type="character" w:customStyle="1" w:styleId="Heading1Char">
    <w:name w:val="Heading 1 Char"/>
    <w:basedOn w:val="DefaultParagraphFont"/>
    <w:link w:val="Heading1"/>
    <w:uiPriority w:val="9"/>
    <w:rsid w:val="00153B21"/>
    <w:rPr>
      <w:rFonts w:ascii="Lato" w:eastAsia="Arial" w:hAnsi="Lato" w:cs="Arial"/>
      <w:b/>
      <w:color w:val="006A78"/>
      <w:kern w:val="0"/>
      <w:sz w:val="36"/>
      <w:szCs w:val="40"/>
      <w:lang w:val="fr-CA"/>
    </w:rPr>
  </w:style>
  <w:style w:type="paragraph" w:styleId="PlainText">
    <w:name w:val="Plain Text"/>
    <w:basedOn w:val="Normal"/>
    <w:link w:val="PlainTextChar"/>
    <w:uiPriority w:val="99"/>
    <w:semiHidden/>
    <w:unhideWhenUsed/>
    <w:rsid w:val="008E17D2"/>
    <w:pPr>
      <w:spacing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8E17D2"/>
    <w:rPr>
      <w:rFonts w:ascii="Consolas" w:eastAsia="Arial" w:hAnsi="Consolas" w:cs="Consolas"/>
      <w:kern w:val="0"/>
      <w:sz w:val="21"/>
      <w:szCs w:val="21"/>
      <w:lang w:val="fr-CA"/>
    </w:rPr>
  </w:style>
  <w:style w:type="character" w:customStyle="1" w:styleId="Heading2Char">
    <w:name w:val="Heading 2 Char"/>
    <w:basedOn w:val="DefaultParagraphFont"/>
    <w:link w:val="Heading2"/>
    <w:uiPriority w:val="9"/>
    <w:rsid w:val="00004241"/>
    <w:rPr>
      <w:rFonts w:ascii="Lato" w:eastAsia="Arial" w:hAnsi="Lato" w:cstheme="minorHAnsi"/>
      <w:b/>
      <w:color w:val="002649"/>
      <w:spacing w:val="-1"/>
      <w:kern w:val="0"/>
      <w:sz w:val="28"/>
      <w:szCs w:val="32"/>
      <w:lang w:val="fr-CA"/>
    </w:rPr>
  </w:style>
  <w:style w:type="paragraph" w:styleId="Header">
    <w:name w:val="header"/>
    <w:basedOn w:val="Normal"/>
    <w:link w:val="HeaderChar"/>
    <w:uiPriority w:val="99"/>
    <w:unhideWhenUsed/>
    <w:rsid w:val="0084591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591A"/>
    <w:rPr>
      <w:kern w:val="0"/>
      <w:sz w:val="22"/>
      <w:szCs w:val="22"/>
      <w:lang w:val="fr-CA"/>
    </w:rPr>
  </w:style>
  <w:style w:type="paragraph" w:styleId="Footer">
    <w:name w:val="footer"/>
    <w:basedOn w:val="Normal"/>
    <w:link w:val="FooterChar"/>
    <w:uiPriority w:val="99"/>
    <w:unhideWhenUsed/>
    <w:rsid w:val="008459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591A"/>
    <w:rPr>
      <w:kern w:val="0"/>
      <w:sz w:val="22"/>
      <w:szCs w:val="22"/>
      <w:lang w:val="fr-CA"/>
    </w:rPr>
  </w:style>
  <w:style w:type="paragraph" w:styleId="ListParagraph">
    <w:name w:val="List Paragraph"/>
    <w:basedOn w:val="Normal"/>
    <w:uiPriority w:val="34"/>
    <w:rsid w:val="0084591A"/>
    <w:pPr>
      <w:ind w:left="720"/>
      <w:contextualSpacing/>
    </w:pPr>
  </w:style>
  <w:style w:type="table" w:styleId="TableGrid">
    <w:name w:val="Table Grid"/>
    <w:basedOn w:val="TableNormal"/>
    <w:uiPriority w:val="39"/>
    <w:rsid w:val="0084591A"/>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4591A"/>
    <w:rPr>
      <w:color w:val="0563C1" w:themeColor="hyperlink"/>
      <w:u w:val="single"/>
    </w:rPr>
  </w:style>
  <w:style w:type="paragraph" w:styleId="FootnoteText">
    <w:name w:val="footnote text"/>
    <w:basedOn w:val="Normal"/>
    <w:link w:val="FootnoteTextChar"/>
    <w:uiPriority w:val="99"/>
    <w:semiHidden/>
    <w:unhideWhenUsed/>
    <w:rsid w:val="0084591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4591A"/>
    <w:rPr>
      <w:kern w:val="0"/>
      <w:sz w:val="20"/>
      <w:szCs w:val="20"/>
      <w:lang w:val="fr-CA"/>
    </w:rPr>
  </w:style>
  <w:style w:type="character" w:styleId="FootnoteReference">
    <w:name w:val="footnote reference"/>
    <w:basedOn w:val="DefaultParagraphFont"/>
    <w:uiPriority w:val="99"/>
    <w:semiHidden/>
    <w:unhideWhenUsed/>
    <w:rsid w:val="0084591A"/>
    <w:rPr>
      <w:vertAlign w:val="superscript"/>
    </w:rPr>
  </w:style>
  <w:style w:type="character" w:customStyle="1" w:styleId="xxcontentpasted0">
    <w:name w:val="x_x_contentpasted0"/>
    <w:basedOn w:val="DefaultParagraphFont"/>
    <w:rsid w:val="0084591A"/>
  </w:style>
  <w:style w:type="paragraph" w:styleId="NoSpacing">
    <w:name w:val="No Spacing"/>
    <w:uiPriority w:val="1"/>
    <w:rsid w:val="0081034D"/>
    <w:rPr>
      <w:sz w:val="22"/>
      <w:szCs w:val="22"/>
    </w:rPr>
  </w:style>
  <w:style w:type="character" w:customStyle="1" w:styleId="TitleChar">
    <w:name w:val="Title Char"/>
    <w:basedOn w:val="DefaultParagraphFont"/>
    <w:link w:val="Title"/>
    <w:uiPriority w:val="10"/>
    <w:rsid w:val="0081034D"/>
    <w:rPr>
      <w:rFonts w:ascii="Lato" w:eastAsiaTheme="majorEastAsia" w:hAnsi="Lato" w:cstheme="majorBidi"/>
      <w:b/>
      <w:color w:val="002060"/>
      <w:spacing w:val="-10"/>
      <w:kern w:val="28"/>
      <w:sz w:val="44"/>
      <w:szCs w:val="56"/>
      <w:lang w:val="fr-CA"/>
    </w:rPr>
  </w:style>
  <w:style w:type="character" w:styleId="FollowedHyperlink">
    <w:name w:val="FollowedHyperlink"/>
    <w:basedOn w:val="DefaultParagraphFont"/>
    <w:uiPriority w:val="99"/>
    <w:semiHidden/>
    <w:unhideWhenUsed/>
    <w:rsid w:val="0081034D"/>
    <w:rPr>
      <w:color w:val="954F72" w:themeColor="followedHyperlink"/>
      <w:u w:val="single"/>
    </w:rPr>
  </w:style>
  <w:style w:type="character" w:styleId="PageNumber">
    <w:name w:val="page number"/>
    <w:basedOn w:val="DefaultParagraphFont"/>
    <w:uiPriority w:val="99"/>
    <w:semiHidden/>
    <w:unhideWhenUsed/>
    <w:rsid w:val="0081034D"/>
  </w:style>
  <w:style w:type="paragraph" w:styleId="TOCHeading">
    <w:name w:val="TOC Heading"/>
    <w:basedOn w:val="Heading1"/>
    <w:next w:val="Normal"/>
    <w:uiPriority w:val="39"/>
    <w:unhideWhenUsed/>
    <w:qFormat/>
    <w:rsid w:val="00BF6CD5"/>
    <w:pPr>
      <w:spacing w:before="480" w:after="0"/>
      <w:outlineLvl w:val="9"/>
    </w:pPr>
    <w:rPr>
      <w:rFonts w:asciiTheme="majorHAnsi" w:eastAsiaTheme="majorEastAsia" w:hAnsiTheme="majorHAnsi" w:cstheme="majorBidi"/>
      <w:color w:val="2F5496" w:themeColor="accent1" w:themeShade="BF"/>
      <w:szCs w:val="28"/>
    </w:rPr>
  </w:style>
  <w:style w:type="paragraph" w:styleId="TOC1">
    <w:name w:val="toc 1"/>
    <w:basedOn w:val="Normal"/>
    <w:next w:val="Normal"/>
    <w:autoRedefine/>
    <w:uiPriority w:val="39"/>
    <w:unhideWhenUsed/>
    <w:rsid w:val="00C94299"/>
    <w:pPr>
      <w:spacing w:before="240" w:after="120"/>
    </w:pPr>
    <w:rPr>
      <w:rFonts w:asciiTheme="minorHAnsi" w:hAnsiTheme="minorHAnsi" w:cstheme="minorHAnsi"/>
      <w:b/>
      <w:bCs/>
      <w:sz w:val="20"/>
      <w:szCs w:val="20"/>
    </w:rPr>
  </w:style>
  <w:style w:type="paragraph" w:styleId="TOC2">
    <w:name w:val="toc 2"/>
    <w:basedOn w:val="Normal"/>
    <w:next w:val="Normal"/>
    <w:autoRedefine/>
    <w:uiPriority w:val="39"/>
    <w:unhideWhenUsed/>
    <w:rsid w:val="00CB7D61"/>
    <w:pPr>
      <w:spacing w:before="120" w:after="0"/>
      <w:ind w:left="240"/>
    </w:pPr>
    <w:rPr>
      <w:rFonts w:asciiTheme="minorHAnsi" w:hAnsiTheme="minorHAnsi" w:cstheme="minorHAnsi"/>
      <w:i/>
      <w:iCs/>
      <w:sz w:val="20"/>
      <w:szCs w:val="20"/>
    </w:rPr>
  </w:style>
  <w:style w:type="paragraph" w:styleId="TOC3">
    <w:name w:val="toc 3"/>
    <w:basedOn w:val="Normal"/>
    <w:next w:val="Normal"/>
    <w:autoRedefine/>
    <w:uiPriority w:val="39"/>
    <w:unhideWhenUsed/>
    <w:rsid w:val="00BF6CD5"/>
    <w:pPr>
      <w:spacing w:after="0"/>
      <w:ind w:left="480"/>
    </w:pPr>
    <w:rPr>
      <w:rFonts w:asciiTheme="minorHAnsi" w:hAnsiTheme="minorHAnsi" w:cstheme="minorHAnsi"/>
      <w:sz w:val="20"/>
      <w:szCs w:val="20"/>
    </w:rPr>
  </w:style>
  <w:style w:type="paragraph" w:styleId="TOC4">
    <w:name w:val="toc 4"/>
    <w:basedOn w:val="Normal"/>
    <w:next w:val="Normal"/>
    <w:autoRedefine/>
    <w:uiPriority w:val="39"/>
    <w:semiHidden/>
    <w:unhideWhenUsed/>
    <w:rsid w:val="00BF6CD5"/>
    <w:pPr>
      <w:spacing w:after="0"/>
      <w:ind w:left="72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BF6CD5"/>
    <w:pPr>
      <w:spacing w:after="0"/>
      <w:ind w:left="96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BF6CD5"/>
    <w:pPr>
      <w:spacing w:after="0"/>
      <w:ind w:left="12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BF6CD5"/>
    <w:pPr>
      <w:spacing w:after="0"/>
      <w:ind w:left="144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BF6CD5"/>
    <w:pPr>
      <w:spacing w:after="0"/>
      <w:ind w:left="168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BF6CD5"/>
    <w:pPr>
      <w:spacing w:after="0"/>
      <w:ind w:left="1920"/>
    </w:pPr>
    <w:rPr>
      <w:rFonts w:asciiTheme="minorHAnsi" w:hAnsiTheme="minorHAnsi" w:cstheme="minorHAnsi"/>
      <w:sz w:val="20"/>
      <w:szCs w:val="20"/>
    </w:rPr>
  </w:style>
  <w:style w:type="character" w:customStyle="1" w:styleId="UnresolvedMention1">
    <w:name w:val="Unresolved Mention1"/>
    <w:basedOn w:val="DefaultParagraphFont"/>
    <w:uiPriority w:val="99"/>
    <w:semiHidden/>
    <w:unhideWhenUsed/>
    <w:rsid w:val="00CE4238"/>
    <w:rPr>
      <w:color w:val="605E5C"/>
      <w:shd w:val="clear" w:color="auto" w:fill="E1DFDD"/>
    </w:rPr>
  </w:style>
  <w:style w:type="paragraph" w:customStyle="1" w:styleId="Default">
    <w:name w:val="Default"/>
    <w:rsid w:val="00DF021C"/>
    <w:pPr>
      <w:autoSpaceDE w:val="0"/>
      <w:autoSpaceDN w:val="0"/>
      <w:adjustRightInd w:val="0"/>
    </w:pPr>
    <w:rPr>
      <w:rFonts w:ascii="Cambria" w:hAnsi="Cambria" w:cs="Cambria"/>
      <w:color w:val="000000"/>
    </w:rPr>
  </w:style>
  <w:style w:type="character" w:customStyle="1" w:styleId="Heading3Char">
    <w:name w:val="Heading 3 Char"/>
    <w:basedOn w:val="DefaultParagraphFont"/>
    <w:link w:val="Heading3"/>
    <w:uiPriority w:val="9"/>
    <w:rsid w:val="00153B21"/>
    <w:rPr>
      <w:rFonts w:ascii="Lato" w:eastAsia="Arial" w:hAnsi="Lato" w:cstheme="minorHAnsi"/>
      <w:bCs/>
      <w:color w:val="006A78"/>
      <w:spacing w:val="-1"/>
      <w:kern w:val="0"/>
      <w:sz w:val="28"/>
      <w:szCs w:val="32"/>
      <w:lang w:val="fr-CA"/>
    </w:rPr>
  </w:style>
  <w:style w:type="table" w:styleId="GridTable4">
    <w:name w:val="Grid Table 4"/>
    <w:basedOn w:val="TableNormal"/>
    <w:uiPriority w:val="49"/>
    <w:rsid w:val="00C16153"/>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odyText">
    <w:name w:val="Body Text"/>
    <w:basedOn w:val="Normal"/>
    <w:link w:val="BodyTextChar"/>
    <w:uiPriority w:val="1"/>
    <w:qFormat/>
    <w:rsid w:val="00707EB3"/>
    <w:pPr>
      <w:widowControl w:val="0"/>
      <w:spacing w:after="0" w:line="240" w:lineRule="auto"/>
      <w:ind w:left="840" w:hanging="360"/>
    </w:pPr>
    <w:rPr>
      <w:rFonts w:ascii="Calibri" w:eastAsia="Calibri" w:hAnsi="Calibri"/>
      <w:sz w:val="22"/>
    </w:rPr>
  </w:style>
  <w:style w:type="character" w:customStyle="1" w:styleId="BodyTextChar">
    <w:name w:val="Body Text Char"/>
    <w:basedOn w:val="DefaultParagraphFont"/>
    <w:link w:val="BodyText"/>
    <w:uiPriority w:val="1"/>
    <w:rsid w:val="00707EB3"/>
    <w:rPr>
      <w:rFonts w:ascii="Calibri" w:eastAsia="Calibri" w:hAnsi="Calibri"/>
      <w:kern w:val="0"/>
      <w:sz w:val="22"/>
      <w:szCs w:val="22"/>
      <w:lang w:val="fr-CA"/>
    </w:rPr>
  </w:style>
  <w:style w:type="character" w:customStyle="1" w:styleId="SubtitleChar">
    <w:name w:val="Subtitle Char"/>
    <w:basedOn w:val="DefaultParagraphFont"/>
    <w:link w:val="Subtitle"/>
    <w:uiPriority w:val="11"/>
    <w:rsid w:val="008057C0"/>
    <w:rPr>
      <w:rFonts w:ascii="Lato" w:eastAsia="Franklin Gothic Book" w:hAnsi="Lato" w:cs="Times New Roman"/>
      <w:b/>
      <w:bCs/>
      <w:noProof/>
      <w:color w:val="00274A"/>
      <w:spacing w:val="-10"/>
      <w:kern w:val="20"/>
      <w:sz w:val="72"/>
      <w:szCs w:val="160"/>
      <w:lang w:val="fr-CA" w:eastAsia="ja-JP"/>
    </w:rPr>
  </w:style>
  <w:style w:type="paragraph" w:styleId="NormalWeb">
    <w:name w:val="Normal (Web)"/>
    <w:basedOn w:val="Normal"/>
    <w:uiPriority w:val="99"/>
    <w:unhideWhenUsed/>
    <w:rsid w:val="00764B82"/>
    <w:pPr>
      <w:spacing w:before="100" w:beforeAutospacing="1" w:after="100" w:afterAutospacing="1" w:line="240" w:lineRule="auto"/>
    </w:pPr>
    <w:rPr>
      <w:rFonts w:ascii="Times New Roman" w:eastAsia="Times New Roman" w:hAnsi="Times New Roman" w:cs="Times New Roman"/>
    </w:rPr>
  </w:style>
  <w:style w:type="paragraph" w:styleId="Quote">
    <w:name w:val="Quote"/>
    <w:aliases w:val="Title Page (2)"/>
    <w:basedOn w:val="Title"/>
    <w:next w:val="Normal"/>
    <w:link w:val="QuoteChar"/>
    <w:uiPriority w:val="29"/>
    <w:qFormat/>
    <w:rsid w:val="00153B21"/>
    <w:pPr>
      <w:spacing w:line="480" w:lineRule="auto"/>
    </w:pPr>
    <w:rPr>
      <w:color w:val="00274A"/>
    </w:rPr>
  </w:style>
  <w:style w:type="character" w:customStyle="1" w:styleId="QuoteChar">
    <w:name w:val="Quote Char"/>
    <w:aliases w:val="Title Page (2) Char"/>
    <w:basedOn w:val="DefaultParagraphFont"/>
    <w:link w:val="Quote"/>
    <w:uiPriority w:val="29"/>
    <w:rsid w:val="00153B21"/>
    <w:rPr>
      <w:rFonts w:ascii="Lato" w:eastAsiaTheme="majorEastAsia" w:hAnsi="Lato" w:cstheme="majorBidi"/>
      <w:b/>
      <w:color w:val="00274A"/>
      <w:spacing w:val="-10"/>
      <w:kern w:val="28"/>
      <w:sz w:val="44"/>
      <w:szCs w:val="56"/>
      <w:lang w:val="fr-CA"/>
    </w:rPr>
  </w:style>
  <w:style w:type="character" w:customStyle="1" w:styleId="Heading4Char">
    <w:name w:val="Heading 4 Char"/>
    <w:basedOn w:val="DefaultParagraphFont"/>
    <w:link w:val="Heading4"/>
    <w:uiPriority w:val="9"/>
    <w:rsid w:val="00004241"/>
    <w:rPr>
      <w:rFonts w:ascii="Arial" w:hAnsi="Arial"/>
      <w:i/>
      <w:iCs/>
      <w:kern w:val="0"/>
      <w:szCs w:val="22"/>
    </w:rPr>
  </w:style>
  <w:style w:type="character" w:customStyle="1" w:styleId="Heading5Char">
    <w:name w:val="Heading 5 Char"/>
    <w:basedOn w:val="DefaultParagraphFont"/>
    <w:link w:val="Heading5"/>
    <w:uiPriority w:val="9"/>
    <w:rsid w:val="00004241"/>
    <w:rPr>
      <w:rFonts w:ascii="Arial" w:hAnsi="Arial"/>
      <w:i/>
      <w:iCs/>
      <w:color w:val="006A78"/>
      <w:kern w:val="0"/>
      <w:szCs w:val="22"/>
    </w:rPr>
  </w:style>
  <w:style w:type="character" w:customStyle="1" w:styleId="Heading6Char">
    <w:name w:val="Heading 6 Char"/>
    <w:basedOn w:val="DefaultParagraphFont"/>
    <w:link w:val="Heading6"/>
    <w:uiPriority w:val="9"/>
    <w:rsid w:val="00DE3903"/>
    <w:rPr>
      <w:rFonts w:ascii="Arial" w:hAnsi="Arial"/>
      <w:kern w:val="0"/>
      <w:szCs w:val="22"/>
    </w:rPr>
  </w:style>
  <w:style w:type="character" w:styleId="IntenseEmphasis">
    <w:name w:val="Intense Emphasis"/>
    <w:uiPriority w:val="21"/>
    <w:rsid w:val="00DE3903"/>
  </w:style>
  <w:style w:type="paragraph" w:styleId="IntenseQuote">
    <w:name w:val="Intense Quote"/>
    <w:aliases w:val="Numbered bullet points"/>
    <w:basedOn w:val="ListParagraph"/>
    <w:next w:val="Normal"/>
    <w:link w:val="IntenseQuoteChar"/>
    <w:uiPriority w:val="30"/>
    <w:qFormat/>
    <w:rsid w:val="00DE3903"/>
    <w:pPr>
      <w:tabs>
        <w:tab w:val="num" w:pos="720"/>
      </w:tabs>
      <w:spacing w:before="600"/>
      <w:ind w:left="357" w:hanging="357"/>
    </w:pPr>
  </w:style>
  <w:style w:type="character" w:customStyle="1" w:styleId="IntenseQuoteChar">
    <w:name w:val="Intense Quote Char"/>
    <w:aliases w:val="Numbered bullet points Char"/>
    <w:basedOn w:val="DefaultParagraphFont"/>
    <w:link w:val="IntenseQuote"/>
    <w:uiPriority w:val="30"/>
    <w:rsid w:val="00DE3903"/>
    <w:rPr>
      <w:szCs w:val="22"/>
    </w:rPr>
  </w:style>
  <w:style w:type="table" w:customStyle="1" w:styleId="3">
    <w:name w:val="3"/>
    <w:basedOn w:val="TableNormal"/>
    <w:rPr>
      <w:sz w:val="22"/>
      <w:szCs w:val="22"/>
    </w:rPr>
    <w:tblPr>
      <w:tblStyleRowBandSize w:val="1"/>
      <w:tblStyleColBandSize w:val="1"/>
    </w:tblPr>
  </w:style>
  <w:style w:type="table" w:customStyle="1" w:styleId="2">
    <w:name w:val="2"/>
    <w:basedOn w:val="TableNormal"/>
    <w:rPr>
      <w:sz w:val="22"/>
      <w:szCs w:val="22"/>
    </w:rPr>
    <w:tblPr>
      <w:tblStyleRowBandSize w:val="1"/>
      <w:tblStyleColBandSize w:val="1"/>
    </w:tblPr>
  </w:style>
  <w:style w:type="character" w:styleId="CommentReference">
    <w:name w:val="annotation reference"/>
    <w:basedOn w:val="DefaultParagraphFont"/>
    <w:uiPriority w:val="99"/>
    <w:semiHidden/>
    <w:unhideWhenUsed/>
    <w:rsid w:val="007E57C4"/>
    <w:rPr>
      <w:sz w:val="16"/>
      <w:szCs w:val="16"/>
    </w:rPr>
  </w:style>
  <w:style w:type="paragraph" w:styleId="CommentText">
    <w:name w:val="annotation text"/>
    <w:basedOn w:val="Normal"/>
    <w:link w:val="CommentTextChar"/>
    <w:uiPriority w:val="99"/>
    <w:semiHidden/>
    <w:unhideWhenUsed/>
    <w:rsid w:val="007E57C4"/>
    <w:pPr>
      <w:spacing w:line="240" w:lineRule="auto"/>
    </w:pPr>
    <w:rPr>
      <w:sz w:val="20"/>
      <w:szCs w:val="20"/>
    </w:rPr>
  </w:style>
  <w:style w:type="character" w:customStyle="1" w:styleId="CommentTextChar">
    <w:name w:val="Comment Text Char"/>
    <w:basedOn w:val="DefaultParagraphFont"/>
    <w:link w:val="CommentText"/>
    <w:uiPriority w:val="99"/>
    <w:semiHidden/>
    <w:rsid w:val="007E57C4"/>
    <w:rPr>
      <w:sz w:val="20"/>
      <w:szCs w:val="20"/>
    </w:rPr>
  </w:style>
  <w:style w:type="paragraph" w:styleId="CommentSubject">
    <w:name w:val="annotation subject"/>
    <w:basedOn w:val="CommentText"/>
    <w:next w:val="CommentText"/>
    <w:link w:val="CommentSubjectChar"/>
    <w:uiPriority w:val="99"/>
    <w:semiHidden/>
    <w:unhideWhenUsed/>
    <w:rsid w:val="007E57C4"/>
    <w:rPr>
      <w:b/>
      <w:bCs/>
    </w:rPr>
  </w:style>
  <w:style w:type="character" w:customStyle="1" w:styleId="CommentSubjectChar">
    <w:name w:val="Comment Subject Char"/>
    <w:basedOn w:val="CommentTextChar"/>
    <w:link w:val="CommentSubject"/>
    <w:uiPriority w:val="99"/>
    <w:semiHidden/>
    <w:rsid w:val="007E57C4"/>
    <w:rPr>
      <w:b/>
      <w:bCs/>
      <w:sz w:val="20"/>
      <w:szCs w:val="20"/>
    </w:rPr>
  </w:style>
  <w:style w:type="paragraph" w:styleId="Revision">
    <w:name w:val="Revision"/>
    <w:hidden/>
    <w:uiPriority w:val="99"/>
    <w:semiHidden/>
    <w:rsid w:val="007E57C4"/>
    <w:pPr>
      <w:spacing w:after="0" w:line="240" w:lineRule="auto"/>
    </w:pPr>
    <w:rPr>
      <w:szCs w:val="22"/>
    </w:rPr>
  </w:style>
  <w:style w:type="table" w:customStyle="1" w:styleId="1">
    <w:name w:val="1"/>
    <w:basedOn w:val="TableNormal"/>
    <w:rPr>
      <w:sz w:val="22"/>
      <w:szCs w:val="22"/>
    </w:rPr>
    <w:tblPr>
      <w:tblStyleRowBandSize w:val="1"/>
      <w:tblStyleColBandSize w:val="1"/>
    </w:tblPr>
  </w:style>
  <w:style w:type="paragraph" w:styleId="BalloonText">
    <w:name w:val="Balloon Text"/>
    <w:basedOn w:val="Normal"/>
    <w:link w:val="BalloonTextChar"/>
    <w:uiPriority w:val="99"/>
    <w:semiHidden/>
    <w:unhideWhenUsed/>
    <w:rsid w:val="00CD7F0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D7F0B"/>
    <w:rPr>
      <w:rFonts w:ascii="Segoe UI" w:hAnsi="Segoe UI" w:cs="Segoe UI"/>
      <w:sz w:val="18"/>
      <w:szCs w:val="18"/>
    </w:rPr>
  </w:style>
  <w:style w:type="table" w:customStyle="1" w:styleId="a">
    <w:basedOn w:val="TableNormal"/>
    <w:rPr>
      <w:sz w:val="22"/>
      <w:szCs w:val="22"/>
    </w:rPr>
    <w:tblPr>
      <w:tblStyleRowBandSize w:val="1"/>
      <w:tblStyleColBandSize w:val="1"/>
    </w:tblPr>
  </w:style>
  <w:style w:type="table" w:customStyle="1" w:styleId="a0">
    <w:basedOn w:val="TableNormal"/>
    <w:rPr>
      <w:sz w:val="22"/>
      <w:szCs w:val="22"/>
    </w:rPr>
    <w:tblPr>
      <w:tblStyleRowBandSize w:val="1"/>
      <w:tblStyleColBandSize w:val="1"/>
    </w:tblPr>
  </w:style>
  <w:style w:type="table" w:customStyle="1" w:styleId="a1">
    <w:basedOn w:val="TableNormal"/>
    <w:rPr>
      <w:sz w:val="22"/>
      <w:szCs w:val="22"/>
    </w:rPr>
    <w:tblPr>
      <w:tblStyleRowBandSize w:val="1"/>
      <w:tblStyleColBandSize w:val="1"/>
    </w:tblPr>
  </w:style>
  <w:style w:type="table" w:customStyle="1" w:styleId="a2">
    <w:basedOn w:val="TableNormal"/>
    <w:rPr>
      <w:sz w:val="22"/>
      <w:szCs w:val="22"/>
    </w:rPr>
    <w:tblPr>
      <w:tblStyleRowBandSize w:val="1"/>
      <w:tblStyleColBandSize w:val="1"/>
    </w:tblPr>
  </w:style>
  <w:style w:type="table" w:customStyle="1" w:styleId="a3">
    <w:basedOn w:val="TableNormal"/>
    <w:rPr>
      <w:sz w:val="22"/>
      <w:szCs w:val="22"/>
    </w:rPr>
    <w:tblPr>
      <w:tblStyleRowBandSize w:val="1"/>
      <w:tblStyleColBandSize w:val="1"/>
    </w:tblPr>
  </w:style>
  <w:style w:type="table" w:customStyle="1" w:styleId="a4">
    <w:basedOn w:val="TableNormal"/>
    <w:rPr>
      <w:sz w:val="22"/>
      <w:szCs w:val="22"/>
    </w:rPr>
    <w:tblPr>
      <w:tblStyleRowBandSize w:val="1"/>
      <w:tblStyleColBandSize w:val="1"/>
    </w:tblPr>
  </w:style>
  <w:style w:type="character" w:customStyle="1" w:styleId="apple-tab-span">
    <w:name w:val="apple-tab-span"/>
    <w:basedOn w:val="DefaultParagraphFont"/>
    <w:rsid w:val="001E7266"/>
  </w:style>
  <w:style w:type="character" w:styleId="UnresolvedMention">
    <w:name w:val="Unresolved Mention"/>
    <w:basedOn w:val="DefaultParagraphFont"/>
    <w:uiPriority w:val="99"/>
    <w:semiHidden/>
    <w:unhideWhenUsed/>
    <w:rsid w:val="00421250"/>
    <w:rPr>
      <w:color w:val="605E5C"/>
      <w:shd w:val="clear" w:color="auto" w:fill="E1DFDD"/>
    </w:rPr>
  </w:style>
  <w:style w:type="paragraph" w:styleId="Subtitle">
    <w:name w:val="Subtitle"/>
    <w:basedOn w:val="Normal"/>
    <w:next w:val="Normal"/>
    <w:link w:val="SubtitleChar"/>
    <w:uiPriority w:val="11"/>
    <w:qFormat/>
    <w:pPr>
      <w:spacing w:after="0" w:line="240" w:lineRule="auto"/>
    </w:pPr>
    <w:rPr>
      <w:rFonts w:ascii="Lato" w:eastAsia="Lato" w:hAnsi="Lato" w:cs="Lato"/>
      <w:b/>
      <w:bCs/>
      <w:color w:val="00274A"/>
      <w:sz w:val="72"/>
      <w:szCs w:val="7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pp.cyberimpact.com/newsletter-view-online?ct=SxdKi9rMj8bf-XyFPx_wDzW-ufKLEkMg1q2ygUKx4DiqwWnrlHlYvHweNuQ2hy_aQvAoKm0frEJeIlGlJOAU3g~~"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app.cyberimpact.com/newsletter-view-online?ct=uP6Rsh2rqJ1cvZ7YKDzvJMUDpUY3xIdl_sV1THZopmqVBKxhTi5TslsNAOAKtL1DIQaRvuIe6p16F1CWYj9Adw~~" TargetMode="External"/><Relationship Id="rId4" Type="http://schemas.openxmlformats.org/officeDocument/2006/relationships/settings" Target="settings.xml"/><Relationship Id="rId9" Type="http://schemas.openxmlformats.org/officeDocument/2006/relationships/hyperlink" Target="https://www.hdrn.ca/fr/categories-fr/grandes-idees/" TargetMode="Externa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7QIkSjhIW4Tdlj+DBcilku76bA==">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4110</Words>
  <Characters>23427</Characters>
  <Application>Microsoft Office Word</Application>
  <DocSecurity>2</DocSecurity>
  <Lines>195</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HDRN Canada</dc:creator>
  <cp:lastModifiedBy>Claire O'Brien</cp:lastModifiedBy>
  <cp:revision>2</cp:revision>
  <dcterms:created xsi:type="dcterms:W3CDTF">2025-09-09T01:11:00Z</dcterms:created>
  <dcterms:modified xsi:type="dcterms:W3CDTF">2026-06-23T17:36:00Z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0x010100B436A9A10C39AF4B8595858AF44D528A</vt:lpwstr>
  </property>
</Properties>
</file>