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F6561" w:rsidRDefault="00000000">
      <w:pPr>
        <w:pStyle w:val="Title"/>
        <w:rPr>
          <w:color w:val="00274A"/>
        </w:rPr>
      </w:pPr>
      <w:r>
        <w:rPr>
          <w:color w:val="00274A"/>
        </w:rPr>
        <w:t xml:space="preserve">HDRN Canada </w:t>
      </w:r>
    </w:p>
    <w:p w:rsidR="00DF6561" w:rsidRDefault="00000000">
      <w:pPr>
        <w:pStyle w:val="Subtitle"/>
        <w:spacing w:before="240"/>
      </w:pPr>
      <w:bookmarkStart w:id="0" w:name="_heading=h.xwm3zf5fj07p" w:colFirst="0" w:colLast="0"/>
      <w:bookmarkEnd w:id="0"/>
      <w:r>
        <w:rPr>
          <w:sz w:val="56"/>
          <w:szCs w:val="56"/>
        </w:rPr>
        <w:t>Scientific Director and CEO’s Report</w:t>
      </w:r>
    </w:p>
    <w:sdt>
      <w:sdtPr>
        <w:tag w:val="goog_rdk_0"/>
        <w:id w:val="876260736"/>
      </w:sdtPr>
      <w:sdtContent>
        <w:p w:rsidR="00DF6561" w:rsidRDefault="00000000">
          <w:pPr>
            <w:pStyle w:val="Title"/>
          </w:pPr>
          <w:r>
            <w:rPr>
              <w:color w:val="00274A"/>
            </w:rPr>
            <w:t>February 11, 2025</w:t>
          </w:r>
          <w:r>
            <w:br w:type="page"/>
          </w:r>
        </w:p>
      </w:sdtContent>
    </w:sdt>
    <w:p w:rsidR="00DF6561" w:rsidRDefault="00000000">
      <w:pPr>
        <w:pStyle w:val="Title"/>
        <w:spacing w:after="240"/>
        <w:rPr>
          <w:color w:val="006A78"/>
          <w:sz w:val="36"/>
          <w:szCs w:val="36"/>
        </w:rPr>
      </w:pPr>
      <w:r>
        <w:rPr>
          <w:color w:val="006A78"/>
          <w:sz w:val="36"/>
          <w:szCs w:val="36"/>
        </w:rPr>
        <w:lastRenderedPageBreak/>
        <w:t>Table of Contents</w:t>
      </w:r>
    </w:p>
    <w:sdt>
      <w:sdtPr>
        <w:id w:val="-1150016218"/>
        <w:docPartObj>
          <w:docPartGallery w:val="Table of Contents"/>
          <w:docPartUnique/>
        </w:docPartObj>
      </w:sdtPr>
      <w:sdtContent>
        <w:p w:rsidR="00DF6561" w:rsidRDefault="00000000">
          <w:pPr>
            <w:widowControl w:val="0"/>
            <w:tabs>
              <w:tab w:val="right" w:pos="12000"/>
            </w:tabs>
            <w:spacing w:before="60" w:after="0" w:line="240" w:lineRule="auto"/>
            <w:rPr>
              <w:b/>
              <w:color w:val="000000"/>
              <w:sz w:val="22"/>
              <w:szCs w:val="22"/>
            </w:rPr>
          </w:pPr>
          <w:r>
            <w:fldChar w:fldCharType="begin"/>
          </w:r>
          <w:r>
            <w:instrText xml:space="preserve"> TOC \h \u \z \t "Heading 1,1,Heading 2,2,Heading 3,3,"</w:instrText>
          </w:r>
          <w:r>
            <w:fldChar w:fldCharType="separate"/>
          </w:r>
          <w:hyperlink w:anchor="_heading=h.yuizgecqxscr">
            <w:r>
              <w:rPr>
                <w:b/>
                <w:color w:val="000000"/>
                <w:sz w:val="22"/>
                <w:szCs w:val="22"/>
              </w:rPr>
              <w:t>Section 1: Organizational Performance Indicators Dashboard</w:t>
            </w:r>
            <w:r>
              <w:rPr>
                <w:b/>
                <w:color w:val="000000"/>
                <w:sz w:val="22"/>
                <w:szCs w:val="22"/>
              </w:rPr>
              <w:tab/>
              <w:t>3</w:t>
            </w:r>
          </w:hyperlink>
        </w:p>
        <w:p w:rsidR="00DF6561" w:rsidRDefault="00000000">
          <w:pPr>
            <w:widowControl w:val="0"/>
            <w:tabs>
              <w:tab w:val="right" w:pos="12000"/>
            </w:tabs>
            <w:spacing w:before="60" w:after="0" w:line="240" w:lineRule="auto"/>
            <w:rPr>
              <w:b/>
              <w:color w:val="000000"/>
              <w:sz w:val="22"/>
              <w:szCs w:val="22"/>
            </w:rPr>
          </w:pPr>
          <w:hyperlink w:anchor="_heading=h.tyjcwt">
            <w:r>
              <w:rPr>
                <w:b/>
                <w:color w:val="000000"/>
              </w:rPr>
              <w:t>Section 2: Key Achievements on Strategic Commitments</w:t>
            </w:r>
            <w:r>
              <w:rPr>
                <w:b/>
                <w:color w:val="000000"/>
              </w:rPr>
              <w:tab/>
              <w:t>4</w:t>
            </w:r>
          </w:hyperlink>
        </w:p>
        <w:p w:rsidR="00DF6561" w:rsidRDefault="00000000">
          <w:pPr>
            <w:widowControl w:val="0"/>
            <w:tabs>
              <w:tab w:val="right" w:pos="12000"/>
            </w:tabs>
            <w:spacing w:before="60" w:after="0" w:line="240" w:lineRule="auto"/>
            <w:ind w:left="360"/>
            <w:rPr>
              <w:color w:val="000000"/>
              <w:sz w:val="22"/>
              <w:szCs w:val="22"/>
            </w:rPr>
          </w:pPr>
          <w:hyperlink w:anchor="_heading=h.3dy6vkm">
            <w:r>
              <w:rPr>
                <w:color w:val="000000"/>
              </w:rPr>
              <w:t>Goal 1: Develop and Improve Services and Supports for Data Access</w:t>
            </w:r>
            <w:r>
              <w:rPr>
                <w:color w:val="000000"/>
              </w:rPr>
              <w:tab/>
              <w:t>4</w:t>
            </w:r>
          </w:hyperlink>
        </w:p>
        <w:p w:rsidR="00DF6561" w:rsidRDefault="00000000">
          <w:pPr>
            <w:widowControl w:val="0"/>
            <w:tabs>
              <w:tab w:val="right" w:pos="12000"/>
            </w:tabs>
            <w:spacing w:before="60" w:after="0" w:line="240" w:lineRule="auto"/>
            <w:ind w:left="360"/>
            <w:rPr>
              <w:color w:val="000000"/>
              <w:sz w:val="22"/>
              <w:szCs w:val="22"/>
            </w:rPr>
          </w:pPr>
          <w:hyperlink w:anchor="_heading=h.1t3h5sf">
            <w:r>
              <w:rPr>
                <w:color w:val="000000"/>
                <w:sz w:val="22"/>
                <w:szCs w:val="22"/>
              </w:rPr>
              <w:t>Goal 2: Diversify and Harmonize Data, and Support Innovative and Privacy-Sensitive Data Use</w:t>
            </w:r>
            <w:r>
              <w:rPr>
                <w:color w:val="000000"/>
                <w:sz w:val="22"/>
                <w:szCs w:val="22"/>
              </w:rPr>
              <w:tab/>
              <w:t>5</w:t>
            </w:r>
          </w:hyperlink>
        </w:p>
        <w:p w:rsidR="00DF6561" w:rsidRDefault="00000000">
          <w:pPr>
            <w:widowControl w:val="0"/>
            <w:tabs>
              <w:tab w:val="right" w:pos="12000"/>
            </w:tabs>
            <w:spacing w:before="60" w:after="0" w:line="240" w:lineRule="auto"/>
            <w:ind w:left="360"/>
            <w:rPr>
              <w:color w:val="000000"/>
              <w:sz w:val="22"/>
              <w:szCs w:val="22"/>
            </w:rPr>
          </w:pPr>
          <w:hyperlink w:anchor="_heading=h.4d34og8">
            <w:r>
              <w:rPr>
                <w:color w:val="000000"/>
                <w:sz w:val="22"/>
                <w:szCs w:val="22"/>
              </w:rPr>
              <w:t xml:space="preserve">Goal 3: Establish </w:t>
            </w:r>
          </w:hyperlink>
          <w:hyperlink w:anchor="_heading=h.4d34og8">
            <w:r>
              <w:rPr>
                <w:sz w:val="22"/>
                <w:szCs w:val="22"/>
              </w:rPr>
              <w:t>and</w:t>
            </w:r>
          </w:hyperlink>
          <w:hyperlink w:anchor="_heading=h.4d34og8">
            <w:r>
              <w:rPr>
                <w:color w:val="000000"/>
                <w:sz w:val="22"/>
                <w:szCs w:val="22"/>
              </w:rPr>
              <w:t xml:space="preserve"> Strengthen Partnerships and Provide Leadership for Evolving Data Practices</w:t>
            </w:r>
            <w:r>
              <w:rPr>
                <w:color w:val="000000"/>
                <w:sz w:val="22"/>
                <w:szCs w:val="22"/>
              </w:rPr>
              <w:tab/>
              <w:t>7</w:t>
            </w:r>
          </w:hyperlink>
        </w:p>
        <w:p w:rsidR="00DF6561" w:rsidRDefault="00000000">
          <w:pPr>
            <w:widowControl w:val="0"/>
            <w:tabs>
              <w:tab w:val="right" w:pos="12000"/>
            </w:tabs>
            <w:spacing w:before="60" w:after="0" w:line="240" w:lineRule="auto"/>
            <w:ind w:left="360"/>
            <w:rPr>
              <w:color w:val="000000"/>
              <w:sz w:val="22"/>
              <w:szCs w:val="22"/>
            </w:rPr>
          </w:pPr>
          <w:hyperlink w:anchor="_heading=h.2s8eyo1">
            <w:r>
              <w:rPr>
                <w:color w:val="000000"/>
                <w:sz w:val="22"/>
                <w:szCs w:val="22"/>
              </w:rPr>
              <w:t>Goal 4: Strengthen Data Use to Improve Equity</w:t>
            </w:r>
          </w:hyperlink>
          <w:hyperlink w:anchor="_heading=h.2s8eyo1">
            <w:r>
              <w:rPr>
                <w:sz w:val="22"/>
                <w:szCs w:val="22"/>
              </w:rPr>
              <w:t xml:space="preserve"> and </w:t>
            </w:r>
          </w:hyperlink>
          <w:hyperlink w:anchor="_heading=h.2s8eyo1">
            <w:r>
              <w:rPr>
                <w:color w:val="000000"/>
                <w:sz w:val="22"/>
                <w:szCs w:val="22"/>
              </w:rPr>
              <w:t>Support Indigenous-led Data Sovereignty</w:t>
            </w:r>
            <w:r>
              <w:rPr>
                <w:color w:val="000000"/>
                <w:sz w:val="22"/>
                <w:szCs w:val="22"/>
              </w:rPr>
              <w:tab/>
              <w:t>8</w:t>
            </w:r>
          </w:hyperlink>
        </w:p>
        <w:p w:rsidR="00DF6561" w:rsidRDefault="00000000">
          <w:pPr>
            <w:widowControl w:val="0"/>
            <w:tabs>
              <w:tab w:val="right" w:pos="12000"/>
            </w:tabs>
            <w:spacing w:before="60" w:after="0" w:line="240" w:lineRule="auto"/>
            <w:ind w:left="360"/>
            <w:rPr>
              <w:color w:val="000000"/>
              <w:sz w:val="22"/>
              <w:szCs w:val="22"/>
            </w:rPr>
          </w:pPr>
          <w:hyperlink w:anchor="_heading=h.17dp8vu">
            <w:r>
              <w:rPr>
                <w:color w:val="000000"/>
                <w:sz w:val="22"/>
                <w:szCs w:val="22"/>
              </w:rPr>
              <w:t>Goal 5: Ensure Purposeful and Ongoing Public and Community Involvement</w:t>
            </w:r>
            <w:r>
              <w:rPr>
                <w:color w:val="000000"/>
                <w:sz w:val="22"/>
                <w:szCs w:val="22"/>
              </w:rPr>
              <w:tab/>
              <w:t>9</w:t>
            </w:r>
          </w:hyperlink>
        </w:p>
        <w:p w:rsidR="00DF6561" w:rsidRDefault="00000000">
          <w:pPr>
            <w:widowControl w:val="0"/>
            <w:tabs>
              <w:tab w:val="right" w:pos="12000"/>
            </w:tabs>
            <w:spacing w:before="60" w:after="0" w:line="240" w:lineRule="auto"/>
            <w:ind w:left="360"/>
            <w:rPr>
              <w:color w:val="000000"/>
              <w:sz w:val="22"/>
              <w:szCs w:val="22"/>
            </w:rPr>
          </w:pPr>
          <w:hyperlink w:anchor="_heading=h.3rdcrjn">
            <w:r>
              <w:rPr>
                <w:color w:val="000000"/>
                <w:sz w:val="22"/>
                <w:szCs w:val="22"/>
              </w:rPr>
              <w:t>Success Factor: Cohesive Network with Effective and Sustainable Operations</w:t>
            </w:r>
            <w:r>
              <w:rPr>
                <w:color w:val="000000"/>
                <w:sz w:val="22"/>
                <w:szCs w:val="22"/>
              </w:rPr>
              <w:tab/>
              <w:t>10</w:t>
            </w:r>
          </w:hyperlink>
        </w:p>
        <w:p w:rsidR="00DF6561" w:rsidRDefault="00000000">
          <w:pPr>
            <w:widowControl w:val="0"/>
            <w:tabs>
              <w:tab w:val="right" w:pos="12000"/>
            </w:tabs>
            <w:spacing w:before="60" w:after="0" w:line="240" w:lineRule="auto"/>
            <w:ind w:left="360"/>
            <w:rPr>
              <w:color w:val="000000"/>
              <w:sz w:val="22"/>
              <w:szCs w:val="22"/>
            </w:rPr>
          </w:pPr>
          <w:hyperlink w:anchor="_heading=h.6wgxdx87qo1f">
            <w:r>
              <w:rPr>
                <w:color w:val="000000"/>
                <w:sz w:val="22"/>
                <w:szCs w:val="22"/>
              </w:rPr>
              <w:t>Success Factor: Supportive and Engaged Legislative and Policy Ecosystem and Community of Data Users</w:t>
            </w:r>
            <w:r>
              <w:rPr>
                <w:color w:val="000000"/>
                <w:sz w:val="22"/>
                <w:szCs w:val="22"/>
              </w:rPr>
              <w:tab/>
              <w:t>11</w:t>
            </w:r>
          </w:hyperlink>
          <w:r>
            <w:fldChar w:fldCharType="end"/>
          </w:r>
        </w:p>
      </w:sdtContent>
    </w:sdt>
    <w:p w:rsidR="00DF6561" w:rsidRDefault="00000000">
      <w:pPr>
        <w:spacing w:before="200" w:after="0"/>
        <w:rPr>
          <w:rFonts w:ascii="Lato" w:eastAsia="Lato" w:hAnsi="Lato" w:cs="Lato"/>
          <w:b/>
          <w:color w:val="006A78"/>
          <w:sz w:val="36"/>
          <w:szCs w:val="36"/>
        </w:rPr>
      </w:pPr>
      <w:r>
        <w:rPr>
          <w:rFonts w:ascii="Lato" w:eastAsia="Lato" w:hAnsi="Lato" w:cs="Lato"/>
          <w:b/>
          <w:color w:val="006A78"/>
          <w:sz w:val="36"/>
          <w:szCs w:val="36"/>
        </w:rPr>
        <w:t>Abbreviations</w:t>
      </w:r>
    </w:p>
    <w:p w:rsidR="00DF6561" w:rsidRDefault="00000000">
      <w:pPr>
        <w:spacing w:after="0" w:line="276" w:lineRule="auto"/>
        <w:rPr>
          <w:i/>
        </w:rPr>
      </w:pPr>
      <w:r>
        <w:rPr>
          <w:b/>
        </w:rPr>
        <w:t>AHD</w:t>
      </w:r>
      <w:r>
        <w:t xml:space="preserve">: Algorithms &amp; Harmonized Data: </w:t>
      </w:r>
      <w:r>
        <w:rPr>
          <w:i/>
        </w:rPr>
        <w:t>A Working Group within HDRN Canada</w:t>
      </w:r>
    </w:p>
    <w:p w:rsidR="00DF6561" w:rsidRDefault="00000000">
      <w:pPr>
        <w:spacing w:after="0" w:line="276" w:lineRule="auto"/>
        <w:rPr>
          <w:i/>
        </w:rPr>
      </w:pPr>
      <w:proofErr w:type="spellStart"/>
      <w:r>
        <w:rPr>
          <w:b/>
        </w:rPr>
        <w:t>CanPath</w:t>
      </w:r>
      <w:proofErr w:type="spellEnd"/>
      <w:r>
        <w:t xml:space="preserve">: Canadian Partnership for Tomorrow’s Health: </w:t>
      </w:r>
      <w:r>
        <w:rPr>
          <w:i/>
        </w:rPr>
        <w:t xml:space="preserve">A large, longitudinal cohort </w:t>
      </w:r>
    </w:p>
    <w:p w:rsidR="00DF6561" w:rsidRDefault="00000000">
      <w:pPr>
        <w:spacing w:after="0" w:line="276" w:lineRule="auto"/>
      </w:pPr>
      <w:r>
        <w:rPr>
          <w:b/>
        </w:rPr>
        <w:t>CDM</w:t>
      </w:r>
      <w:r>
        <w:t>: Common Data Model</w:t>
      </w:r>
    </w:p>
    <w:p w:rsidR="00DF6561" w:rsidRDefault="00000000">
      <w:pPr>
        <w:spacing w:after="0" w:line="276" w:lineRule="auto"/>
      </w:pPr>
      <w:r>
        <w:rPr>
          <w:b/>
        </w:rPr>
        <w:t>CFI</w:t>
      </w:r>
      <w:r>
        <w:t>: Canada Foundation for Innovation</w:t>
      </w:r>
    </w:p>
    <w:p w:rsidR="00DF6561" w:rsidRDefault="00000000">
      <w:pPr>
        <w:spacing w:after="0" w:line="276" w:lineRule="auto"/>
      </w:pPr>
      <w:r>
        <w:rPr>
          <w:b/>
        </w:rPr>
        <w:t>CIHI</w:t>
      </w:r>
      <w:r>
        <w:t>: Canadian Institute for Health Information</w:t>
      </w:r>
    </w:p>
    <w:p w:rsidR="00DF6561" w:rsidRDefault="00000000">
      <w:pPr>
        <w:spacing w:after="0" w:line="276" w:lineRule="auto"/>
      </w:pPr>
      <w:r>
        <w:rPr>
          <w:b/>
        </w:rPr>
        <w:t>CIHR</w:t>
      </w:r>
      <w:r>
        <w:t>: Canadian Institutes of Health Research</w:t>
      </w:r>
    </w:p>
    <w:p w:rsidR="00DF6561" w:rsidRDefault="00000000">
      <w:pPr>
        <w:spacing w:after="0" w:line="276" w:lineRule="auto"/>
        <w:rPr>
          <w:i/>
        </w:rPr>
      </w:pPr>
      <w:r>
        <w:rPr>
          <w:b/>
        </w:rPr>
        <w:t xml:space="preserve">DAI: </w:t>
      </w:r>
      <w:r>
        <w:t xml:space="preserve">Data Asset Inventory: </w:t>
      </w:r>
      <w:r>
        <w:rPr>
          <w:i/>
        </w:rPr>
        <w:t>One of the resources developed by HDRN Canada</w:t>
      </w:r>
    </w:p>
    <w:p w:rsidR="00DF6561" w:rsidRDefault="00000000">
      <w:pPr>
        <w:spacing w:after="0" w:line="276" w:lineRule="auto"/>
        <w:rPr>
          <w:i/>
        </w:rPr>
      </w:pPr>
      <w:r>
        <w:rPr>
          <w:b/>
        </w:rPr>
        <w:t>DASH</w:t>
      </w:r>
      <w:r>
        <w:t xml:space="preserve">: Data Access Support Hub: </w:t>
      </w:r>
      <w:r>
        <w:rPr>
          <w:i/>
        </w:rPr>
        <w:t>A Working Group within HDRN Canada</w:t>
      </w:r>
    </w:p>
    <w:p w:rsidR="00DF6561" w:rsidRDefault="00000000">
      <w:pPr>
        <w:spacing w:after="0" w:line="276" w:lineRule="auto"/>
      </w:pPr>
      <w:r>
        <w:rPr>
          <w:b/>
        </w:rPr>
        <w:t>IDEA</w:t>
      </w:r>
      <w:r>
        <w:t>: Inclusivity, Diversity, Equity, and Accessibility</w:t>
      </w:r>
    </w:p>
    <w:p w:rsidR="00DF6561" w:rsidRDefault="00000000">
      <w:pPr>
        <w:spacing w:after="0" w:line="276" w:lineRule="auto"/>
        <w:rPr>
          <w:i/>
        </w:rPr>
      </w:pPr>
      <w:r>
        <w:rPr>
          <w:b/>
        </w:rPr>
        <w:t>OMOP</w:t>
      </w:r>
      <w:r>
        <w:t>: Observational Medical Outcomes Partnership</w:t>
      </w:r>
      <w:r>
        <w:rPr>
          <w:i/>
        </w:rPr>
        <w:t>: A widely used common data model that HDRN Canada is implementing</w:t>
      </w:r>
    </w:p>
    <w:p w:rsidR="00DF6561" w:rsidRDefault="00000000">
      <w:pPr>
        <w:spacing w:after="0" w:line="276" w:lineRule="auto"/>
        <w:rPr>
          <w:i/>
        </w:rPr>
      </w:pPr>
      <w:r>
        <w:rPr>
          <w:b/>
        </w:rPr>
        <w:t>PAC</w:t>
      </w:r>
      <w:r>
        <w:t xml:space="preserve">: Public Advisory Council: </w:t>
      </w:r>
      <w:r>
        <w:rPr>
          <w:i/>
        </w:rPr>
        <w:t>An advisory body supported by HDRN Canada</w:t>
      </w:r>
    </w:p>
    <w:p w:rsidR="00DF6561" w:rsidRDefault="00000000">
      <w:pPr>
        <w:spacing w:after="0" w:line="276" w:lineRule="auto"/>
        <w:rPr>
          <w:i/>
        </w:rPr>
      </w:pPr>
      <w:r>
        <w:rPr>
          <w:b/>
        </w:rPr>
        <w:t>PE</w:t>
      </w:r>
      <w:r>
        <w:t xml:space="preserve">: Public Engagement: </w:t>
      </w:r>
      <w:r>
        <w:rPr>
          <w:i/>
        </w:rPr>
        <w:t>A Working Group within HDRN Canada</w:t>
      </w:r>
    </w:p>
    <w:p w:rsidR="00DF6561" w:rsidRDefault="00000000">
      <w:pPr>
        <w:spacing w:after="0" w:line="276" w:lineRule="auto"/>
      </w:pPr>
      <w:r>
        <w:rPr>
          <w:b/>
        </w:rPr>
        <w:t>PHAC</w:t>
      </w:r>
      <w:r>
        <w:t>: Public Health Agency of Canada</w:t>
      </w:r>
    </w:p>
    <w:p w:rsidR="00DF6561" w:rsidRDefault="00000000">
      <w:pPr>
        <w:spacing w:after="0" w:line="276" w:lineRule="auto"/>
        <w:rPr>
          <w:i/>
        </w:rPr>
      </w:pPr>
      <w:r>
        <w:rPr>
          <w:b/>
        </w:rPr>
        <w:t>PTTP</w:t>
      </w:r>
      <w:r>
        <w:t xml:space="preserve">: Pragmatic Trials Training Program: </w:t>
      </w:r>
      <w:r>
        <w:rPr>
          <w:i/>
        </w:rPr>
        <w:t>A program hosted by HDRN Canada</w:t>
      </w:r>
    </w:p>
    <w:p w:rsidR="00DF6561" w:rsidRDefault="00000000">
      <w:pPr>
        <w:spacing w:after="0" w:line="276" w:lineRule="auto"/>
      </w:pPr>
      <w:r>
        <w:rPr>
          <w:b/>
        </w:rPr>
        <w:t>TRE</w:t>
      </w:r>
      <w:r>
        <w:t xml:space="preserve">: Trusted Research Environment: </w:t>
      </w:r>
      <w:r>
        <w:rPr>
          <w:i/>
        </w:rPr>
        <w:t>Terminology for secure spaces where data analysis happens</w:t>
      </w:r>
    </w:p>
    <w:p w:rsidR="00DF6561" w:rsidRDefault="00000000">
      <w:pPr>
        <w:pStyle w:val="Heading1"/>
        <w:spacing w:after="0"/>
      </w:pPr>
      <w:bookmarkStart w:id="1" w:name="_heading=h.yuizgecqxscr" w:colFirst="0" w:colLast="0"/>
      <w:bookmarkEnd w:id="1"/>
      <w:r>
        <w:lastRenderedPageBreak/>
        <w:t>Section 1: Organizational Performance Indicators Dashboard</w:t>
      </w:r>
    </w:p>
    <w:p w:rsidR="00DF6561" w:rsidRDefault="00000000">
      <w:pPr>
        <w:spacing w:after="0" w:line="240" w:lineRule="auto"/>
        <w:jc w:val="center"/>
      </w:pPr>
      <w:r>
        <w:rPr>
          <w:noProof/>
        </w:rPr>
        <w:drawing>
          <wp:inline distT="114300" distB="114300" distL="114300" distR="114300">
            <wp:extent cx="5576888" cy="7095252"/>
            <wp:effectExtent l="0" t="0" r="0" b="0"/>
            <wp:docPr id="190398654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576888" cy="7095252"/>
                    </a:xfrm>
                    <a:prstGeom prst="rect">
                      <a:avLst/>
                    </a:prstGeom>
                    <a:ln/>
                  </pic:spPr>
                </pic:pic>
              </a:graphicData>
            </a:graphic>
          </wp:inline>
        </w:drawing>
      </w:r>
    </w:p>
    <w:p w:rsidR="00DF6561" w:rsidRDefault="00000000">
      <w:pPr>
        <w:spacing w:after="0"/>
        <w:jc w:val="center"/>
        <w:rPr>
          <w:sz w:val="22"/>
          <w:szCs w:val="22"/>
        </w:rPr>
      </w:pPr>
      <w:r>
        <w:rPr>
          <w:b/>
          <w:sz w:val="22"/>
          <w:szCs w:val="22"/>
        </w:rPr>
        <w:t xml:space="preserve">Note: </w:t>
      </w:r>
      <w:r>
        <w:rPr>
          <w:sz w:val="22"/>
          <w:szCs w:val="22"/>
        </w:rPr>
        <w:t>Indicators are updated quarterly. Ongoing or new initiatives are denoted in square brackets.</w:t>
      </w:r>
    </w:p>
    <w:p w:rsidR="00DF6561" w:rsidRDefault="00000000">
      <w:pPr>
        <w:pStyle w:val="Heading1"/>
      </w:pPr>
      <w:bookmarkStart w:id="2" w:name="_heading=h.tyjcwt" w:colFirst="0" w:colLast="0"/>
      <w:bookmarkEnd w:id="2"/>
      <w:r>
        <w:lastRenderedPageBreak/>
        <w:t>Section 2: Key Achievements on Strategic Commitments</w:t>
      </w:r>
    </w:p>
    <w:p w:rsidR="00DF6561" w:rsidRDefault="00000000">
      <w:pPr>
        <w:pStyle w:val="Heading2"/>
        <w:tabs>
          <w:tab w:val="left" w:pos="461"/>
          <w:tab w:val="left" w:pos="461"/>
          <w:tab w:val="left" w:pos="461"/>
          <w:tab w:val="left" w:pos="461"/>
        </w:tabs>
        <w:rPr>
          <w:sz w:val="22"/>
          <w:szCs w:val="22"/>
        </w:rPr>
      </w:pPr>
      <w:bookmarkStart w:id="3" w:name="_heading=h.3dy6vkm" w:colFirst="0" w:colLast="0"/>
      <w:bookmarkEnd w:id="3"/>
      <w:r>
        <w:t>Goal 1: Develop and Improve Services and Supports for Data Access</w:t>
      </w:r>
    </w:p>
    <w:p w:rsidR="00DF6561" w:rsidRDefault="00000000">
      <w:pPr>
        <w:tabs>
          <w:tab w:val="left" w:pos="461"/>
          <w:tab w:val="left" w:pos="461"/>
          <w:tab w:val="left" w:pos="461"/>
          <w:tab w:val="left" w:pos="461"/>
          <w:tab w:val="left" w:pos="461"/>
          <w:tab w:val="left" w:pos="461"/>
        </w:tabs>
        <w:rPr>
          <w:color w:val="006A78"/>
          <w:sz w:val="28"/>
          <w:szCs w:val="28"/>
        </w:rPr>
      </w:pPr>
      <w:r>
        <w:rPr>
          <w:color w:val="006A78"/>
          <w:sz w:val="28"/>
          <w:szCs w:val="28"/>
        </w:rPr>
        <w:t>Active DASH projects:</w:t>
      </w:r>
    </w:p>
    <w:p w:rsidR="00DF6561" w:rsidRDefault="00000000">
      <w:pPr>
        <w:numPr>
          <w:ilvl w:val="0"/>
          <w:numId w:val="1"/>
        </w:numPr>
        <w:spacing w:after="0"/>
        <w:rPr>
          <w:rFonts w:ascii="Noto Sans Symbols" w:eastAsia="Noto Sans Symbols" w:hAnsi="Noto Sans Symbols" w:cs="Noto Sans Symbols"/>
        </w:rPr>
      </w:pPr>
      <w:r>
        <w:t xml:space="preserve">The first Data Access Support Hub (DASH) data access request involving Quebec’s data </w:t>
      </w:r>
      <w:proofErr w:type="spellStart"/>
      <w:r>
        <w:t>centre</w:t>
      </w:r>
      <w:proofErr w:type="spellEnd"/>
      <w:r>
        <w:t xml:space="preserve">, </w:t>
      </w:r>
      <w:proofErr w:type="spellStart"/>
      <w:r>
        <w:t>Institut</w:t>
      </w:r>
      <w:proofErr w:type="spellEnd"/>
      <w:r>
        <w:t xml:space="preserve"> de la </w:t>
      </w:r>
      <w:proofErr w:type="spellStart"/>
      <w:r>
        <w:t>statistique</w:t>
      </w:r>
      <w:proofErr w:type="spellEnd"/>
      <w:r>
        <w:t xml:space="preserve"> du Québec, was completed this quarter.</w:t>
      </w:r>
    </w:p>
    <w:p w:rsidR="00DF6561" w:rsidRDefault="00000000">
      <w:pPr>
        <w:numPr>
          <w:ilvl w:val="0"/>
          <w:numId w:val="1"/>
        </w:numPr>
        <w:spacing w:after="0"/>
        <w:rPr>
          <w:rFonts w:ascii="Noto Sans Symbols" w:eastAsia="Noto Sans Symbols" w:hAnsi="Noto Sans Symbols" w:cs="Noto Sans Symbols"/>
        </w:rPr>
      </w:pPr>
      <w:r>
        <w:t>The DASH WG is currently supporting 18 active data access, including two new intakes.</w:t>
      </w:r>
    </w:p>
    <w:p w:rsidR="00DF6561" w:rsidRDefault="00000000">
      <w:pPr>
        <w:numPr>
          <w:ilvl w:val="0"/>
          <w:numId w:val="1"/>
        </w:numPr>
        <w:spacing w:after="0"/>
        <w:ind w:right="-90"/>
        <w:rPr>
          <w:rFonts w:ascii="Noto Sans Symbols" w:eastAsia="Noto Sans Symbols" w:hAnsi="Noto Sans Symbols" w:cs="Noto Sans Symbols"/>
        </w:rPr>
      </w:pPr>
      <w:hyperlink r:id="rId9">
        <w:r>
          <w:rPr>
            <w:color w:val="1155CC"/>
            <w:u w:val="single"/>
          </w:rPr>
          <w:t>New impact story</w:t>
        </w:r>
      </w:hyperlink>
      <w:r>
        <w:t>! DASH supports the largest randomized trial conducted by Canadian primary care.</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t>The DASH Review Action Plan is well underway:</w:t>
      </w:r>
    </w:p>
    <w:p w:rsidR="00DF6561" w:rsidRDefault="00000000">
      <w:pPr>
        <w:numPr>
          <w:ilvl w:val="0"/>
          <w:numId w:val="1"/>
        </w:numPr>
        <w:spacing w:after="0"/>
        <w:rPr>
          <w:rFonts w:ascii="Noto Sans Symbols" w:eastAsia="Noto Sans Symbols" w:hAnsi="Noto Sans Symbols" w:cs="Noto Sans Symbols"/>
        </w:rPr>
      </w:pPr>
      <w:r>
        <w:t>Focus areas include user experience including accessibility and ease for forms, and reducing timelines that are under the control of member organizations.</w:t>
      </w:r>
    </w:p>
    <w:p w:rsidR="00DF6561" w:rsidRDefault="00000000">
      <w:pPr>
        <w:numPr>
          <w:ilvl w:val="0"/>
          <w:numId w:val="1"/>
        </w:numPr>
        <w:spacing w:after="0"/>
        <w:rPr>
          <w:rFonts w:ascii="Noto Sans Symbols" w:eastAsia="Noto Sans Symbols" w:hAnsi="Noto Sans Symbols" w:cs="Noto Sans Symbols"/>
        </w:rPr>
      </w:pPr>
      <w:r>
        <w:t>Three user experience surveys were released in November 2024 to better understand researchers’ perspectives and experiences of conducting multi-regional research (not limited to experiences with the DASH process). Analysis to be completed in February 2025. Target groups include:</w:t>
      </w:r>
    </w:p>
    <w:p w:rsidR="00DF6561" w:rsidRDefault="00000000">
      <w:pPr>
        <w:numPr>
          <w:ilvl w:val="1"/>
          <w:numId w:val="1"/>
        </w:numPr>
        <w:spacing w:after="0"/>
        <w:rPr>
          <w:rFonts w:ascii="Courier New" w:eastAsia="Courier New" w:hAnsi="Courier New" w:cs="Courier New"/>
        </w:rPr>
      </w:pPr>
      <w:r>
        <w:t>Research community broadly, survey sent to 648 people who registered for an HDRN Canada webinar – 139 responses to date.</w:t>
      </w:r>
    </w:p>
    <w:p w:rsidR="00DF6561" w:rsidRDefault="00000000">
      <w:pPr>
        <w:numPr>
          <w:ilvl w:val="1"/>
          <w:numId w:val="1"/>
        </w:numPr>
        <w:spacing w:after="0"/>
        <w:rPr>
          <w:rFonts w:ascii="Courier New" w:eastAsia="Courier New" w:hAnsi="Courier New" w:cs="Courier New"/>
        </w:rPr>
      </w:pPr>
      <w:r>
        <w:t>DASH active and completed projects: survey sent to 26 people – 4 responses to date</w:t>
      </w:r>
    </w:p>
    <w:p w:rsidR="00DF6561" w:rsidRDefault="00000000">
      <w:pPr>
        <w:numPr>
          <w:ilvl w:val="1"/>
          <w:numId w:val="1"/>
        </w:numPr>
        <w:spacing w:after="0"/>
        <w:rPr>
          <w:rFonts w:ascii="Courier New" w:eastAsia="Courier New" w:hAnsi="Courier New" w:cs="Courier New"/>
        </w:rPr>
      </w:pPr>
      <w:r>
        <w:t>DASH drop-offs: survey sent to 48 people – 10 responses to date</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t>The cross-country DASH team is actively engaged:</w:t>
      </w:r>
    </w:p>
    <w:p w:rsidR="00DF6561" w:rsidRDefault="00000000">
      <w:pPr>
        <w:numPr>
          <w:ilvl w:val="0"/>
          <w:numId w:val="1"/>
        </w:numPr>
        <w:spacing w:after="0"/>
        <w:rPr>
          <w:rFonts w:ascii="Noto Sans Symbols" w:eastAsia="Noto Sans Symbols" w:hAnsi="Noto Sans Symbols" w:cs="Noto Sans Symbols"/>
        </w:rPr>
      </w:pPr>
      <w:r>
        <w:t xml:space="preserve">In December, DASH WG members from the </w:t>
      </w:r>
      <w:proofErr w:type="spellStart"/>
      <w:r>
        <w:t>Institut</w:t>
      </w:r>
      <w:proofErr w:type="spellEnd"/>
      <w:r>
        <w:t xml:space="preserve"> de la </w:t>
      </w:r>
      <w:proofErr w:type="spellStart"/>
      <w:r>
        <w:t>statistique</w:t>
      </w:r>
      <w:proofErr w:type="spellEnd"/>
      <w:r>
        <w:t xml:space="preserve"> du Québec and the Health Research Data Platform – Saskatchewan co-delivered the DASH Webinars. </w:t>
      </w:r>
    </w:p>
    <w:p w:rsidR="00DF6561" w:rsidRDefault="00000000">
      <w:pPr>
        <w:numPr>
          <w:ilvl w:val="0"/>
          <w:numId w:val="1"/>
        </w:numPr>
        <w:spacing w:after="0"/>
        <w:rPr>
          <w:rFonts w:ascii="Noto Sans Symbols" w:eastAsia="Noto Sans Symbols" w:hAnsi="Noto Sans Symbols" w:cs="Noto Sans Symbols"/>
        </w:rPr>
      </w:pPr>
      <w:r>
        <w:t>DASH members in Alberta are collaborating with a researcher to deliver the next DASH webinar series in the spring.</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lastRenderedPageBreak/>
        <w:t>Piloting a National Concept Library prototype to help researchers plan their projects:</w:t>
      </w:r>
    </w:p>
    <w:p w:rsidR="00DF6561" w:rsidRDefault="00000000">
      <w:pPr>
        <w:numPr>
          <w:ilvl w:val="0"/>
          <w:numId w:val="1"/>
        </w:numPr>
        <w:spacing w:after="0"/>
        <w:rPr>
          <w:rFonts w:ascii="Noto Sans Symbols" w:eastAsia="Noto Sans Symbols" w:hAnsi="Noto Sans Symbols" w:cs="Noto Sans Symbols"/>
        </w:rPr>
      </w:pPr>
      <w:r>
        <w:t xml:space="preserve">HDRN Canada signed a contract with </w:t>
      </w:r>
      <w:hyperlink r:id="rId10">
        <w:r>
          <w:rPr>
            <w:color w:val="1155CC"/>
            <w:u w:val="single"/>
          </w:rPr>
          <w:t>SAIL Databank</w:t>
        </w:r>
      </w:hyperlink>
      <w:r>
        <w:t xml:space="preserve"> to pilot a National Concept Library prototype across selected sites. This is related to our recently submitted CFI proposal. </w:t>
      </w:r>
    </w:p>
    <w:p w:rsidR="00DF6561" w:rsidRDefault="00000000">
      <w:pPr>
        <w:numPr>
          <w:ilvl w:val="0"/>
          <w:numId w:val="1"/>
        </w:numPr>
        <w:spacing w:after="200"/>
        <w:rPr>
          <w:rFonts w:ascii="Noto Sans Symbols" w:eastAsia="Noto Sans Symbols" w:hAnsi="Noto Sans Symbols" w:cs="Noto Sans Symbols"/>
        </w:rPr>
      </w:pPr>
      <w:r>
        <w:t xml:space="preserve">The library will provide detailed descriptions of methods, analytical approaches, and algorithms for indicators and measures used in research. This will be a valuable resource for planning projects that can build on what other researchers have already done and is consistent with the principles of Open Science. The Algorithms and Harmonized Data (AHD) Working Group is providing input and expertise on the prototype. </w:t>
      </w:r>
    </w:p>
    <w:p w:rsidR="00DF6561" w:rsidRDefault="00000000">
      <w:pPr>
        <w:pStyle w:val="Heading2"/>
        <w:tabs>
          <w:tab w:val="left" w:pos="461"/>
          <w:tab w:val="left" w:pos="461"/>
          <w:tab w:val="left" w:pos="461"/>
          <w:tab w:val="left" w:pos="461"/>
        </w:tabs>
      </w:pPr>
      <w:bookmarkStart w:id="4" w:name="_heading=h.1t3h5sf" w:colFirst="0" w:colLast="0"/>
      <w:bookmarkEnd w:id="4"/>
      <w:r>
        <w:t>Goal 2: Diversify and Harmonize Data, and Support Innovative and Privacy-Sensitive Data Use</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t>Data and services are expanding:</w:t>
      </w:r>
    </w:p>
    <w:p w:rsidR="00DF6561" w:rsidRDefault="00000000">
      <w:pPr>
        <w:numPr>
          <w:ilvl w:val="0"/>
          <w:numId w:val="1"/>
        </w:numPr>
        <w:spacing w:after="0"/>
        <w:rPr>
          <w:rFonts w:ascii="Noto Sans Symbols" w:eastAsia="Noto Sans Symbols" w:hAnsi="Noto Sans Symbols" w:cs="Noto Sans Symbols"/>
        </w:rPr>
      </w:pPr>
      <w:r>
        <w:t>Quebec is now offering Revenue Québec data.</w:t>
      </w:r>
    </w:p>
    <w:p w:rsidR="00DF6561" w:rsidRDefault="00000000">
      <w:pPr>
        <w:numPr>
          <w:ilvl w:val="0"/>
          <w:numId w:val="1"/>
        </w:numPr>
        <w:spacing w:after="0"/>
        <w:rPr>
          <w:rFonts w:ascii="Noto Sans Symbols" w:eastAsia="Noto Sans Symbols" w:hAnsi="Noto Sans Symbols" w:cs="Noto Sans Symbols"/>
        </w:rPr>
      </w:pPr>
      <w:r>
        <w:t>Saskatchewan is now offering researchers the ability to link an external data set (e.g. data that they collect) to routinely collected data.</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t>A major milestone on common data models:</w:t>
      </w:r>
    </w:p>
    <w:p w:rsidR="00DF6561" w:rsidRDefault="00000000">
      <w:pPr>
        <w:numPr>
          <w:ilvl w:val="0"/>
          <w:numId w:val="1"/>
        </w:numPr>
        <w:spacing w:after="0"/>
        <w:rPr>
          <w:rFonts w:ascii="Noto Sans Symbols" w:eastAsia="Noto Sans Symbols" w:hAnsi="Noto Sans Symbols" w:cs="Noto Sans Symbols"/>
        </w:rPr>
      </w:pPr>
      <w:r>
        <w:t xml:space="preserve">We completed a study comparing results using “original” data with harmonized data put into the Observational Medical Outcomes Partnership (OMOP) common data model format. </w:t>
      </w:r>
    </w:p>
    <w:p w:rsidR="00DF6561" w:rsidRDefault="00000000">
      <w:pPr>
        <w:numPr>
          <w:ilvl w:val="0"/>
          <w:numId w:val="1"/>
        </w:numPr>
        <w:spacing w:after="0"/>
        <w:rPr>
          <w:rFonts w:ascii="Noto Sans Symbols" w:eastAsia="Noto Sans Symbols" w:hAnsi="Noto Sans Symbols" w:cs="Noto Sans Symbols"/>
        </w:rPr>
      </w:pPr>
      <w:r>
        <w:t xml:space="preserve">The study showed perfect concordance between the two, and much speedier analysis time using the common data model. </w:t>
      </w:r>
    </w:p>
    <w:p w:rsidR="00DF6561" w:rsidRDefault="00000000">
      <w:pPr>
        <w:numPr>
          <w:ilvl w:val="0"/>
          <w:numId w:val="1"/>
        </w:numPr>
        <w:spacing w:after="0"/>
        <w:rPr>
          <w:rFonts w:ascii="Noto Sans Symbols" w:eastAsia="Noto Sans Symbols" w:hAnsi="Noto Sans Symbols" w:cs="Noto Sans Symbols"/>
        </w:rPr>
      </w:pPr>
      <w:r>
        <w:t xml:space="preserve">This was a small, limited study, but suggests there is merit in pursuing data models as a major step in multi-regional research. This idea is core to the recently submitted CFI proposal. </w:t>
      </w:r>
      <w:r>
        <w:br w:type="page"/>
      </w:r>
    </w:p>
    <w:p w:rsidR="00DF6561" w:rsidRDefault="00000000">
      <w:pPr>
        <w:spacing w:after="0"/>
        <w:rPr>
          <w:color w:val="006A78"/>
          <w:sz w:val="28"/>
          <w:szCs w:val="28"/>
        </w:rPr>
      </w:pPr>
      <w:r>
        <w:rPr>
          <w:color w:val="006A78"/>
          <w:sz w:val="28"/>
          <w:szCs w:val="28"/>
        </w:rPr>
        <w:lastRenderedPageBreak/>
        <w:t>Three sites onboarded to optimize a machine-learning tool for de-identifying free text data - MASK project:</w:t>
      </w:r>
    </w:p>
    <w:p w:rsidR="00DF6561" w:rsidRDefault="00000000">
      <w:pPr>
        <w:numPr>
          <w:ilvl w:val="0"/>
          <w:numId w:val="1"/>
        </w:numPr>
        <w:spacing w:after="0"/>
        <w:rPr>
          <w:rFonts w:ascii="Noto Sans Symbols" w:eastAsia="Noto Sans Symbols" w:hAnsi="Noto Sans Symbols" w:cs="Noto Sans Symbols"/>
        </w:rPr>
      </w:pPr>
      <w:r>
        <w:t>Three sites have obtained ethics approvals and data access agreements, set up data access, and trained their personnel on the software used to tag and label sensitive information within free-text records. This will facilitate the training and evaluation of the machine-learning MASK tool.</w:t>
      </w:r>
    </w:p>
    <w:p w:rsidR="00DF6561" w:rsidRDefault="00000000">
      <w:pPr>
        <w:numPr>
          <w:ilvl w:val="0"/>
          <w:numId w:val="1"/>
        </w:numPr>
        <w:spacing w:after="0"/>
        <w:rPr>
          <w:rFonts w:ascii="Noto Sans Symbols" w:eastAsia="Noto Sans Symbols" w:hAnsi="Noto Sans Symbols" w:cs="Noto Sans Symbols"/>
        </w:rPr>
      </w:pPr>
      <w:r>
        <w:t>This achievement marks a key first step towards optimizing a method for effective de-identification of free text, that safeguards patient privacy while opening access to rich and valuable data sources.</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t>Data Asset Inventory IDEA Labelling project is complete:</w:t>
      </w:r>
    </w:p>
    <w:p w:rsidR="00DF6561" w:rsidRDefault="00000000">
      <w:pPr>
        <w:numPr>
          <w:ilvl w:val="0"/>
          <w:numId w:val="1"/>
        </w:numPr>
        <w:spacing w:after="0"/>
        <w:rPr>
          <w:rFonts w:ascii="Noto Sans Symbols" w:eastAsia="Noto Sans Symbols" w:hAnsi="Noto Sans Symbols" w:cs="Noto Sans Symbols"/>
        </w:rPr>
      </w:pPr>
      <w:r>
        <w:t>All participating sites have completed annotating the Data Asset Inventory (DAI) with new IDEA labels (assessment, disability, ethnicity/race, housing, justice, migration, sex, and gender). This improves the DAI’s utility for diverse, inclusive and equity-focused research initiatives.</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t>Completed 40 percent of content in the e-learning Privacy Training Program:</w:t>
      </w:r>
    </w:p>
    <w:p w:rsidR="00DF6561" w:rsidRDefault="00000000">
      <w:pPr>
        <w:numPr>
          <w:ilvl w:val="0"/>
          <w:numId w:val="1"/>
        </w:numPr>
        <w:spacing w:after="0"/>
        <w:rPr>
          <w:rFonts w:ascii="Noto Sans Symbols" w:eastAsia="Noto Sans Symbols" w:hAnsi="Noto Sans Symbols" w:cs="Noto Sans Symbols"/>
        </w:rPr>
      </w:pPr>
      <w:r>
        <w:t>Work continues with the e-learning Privacy Training Program with approximately 40% of the content and three of the four planned interviews completed. The first beta version is planned to be completed in May 2025.</w:t>
      </w:r>
    </w:p>
    <w:p w:rsidR="00DF6561" w:rsidRDefault="00000000">
      <w:pPr>
        <w:numPr>
          <w:ilvl w:val="0"/>
          <w:numId w:val="1"/>
        </w:numPr>
        <w:spacing w:after="0"/>
        <w:rPr>
          <w:rFonts w:ascii="Noto Sans Symbols" w:eastAsia="Noto Sans Symbols" w:hAnsi="Noto Sans Symbols" w:cs="Noto Sans Symbols"/>
        </w:rPr>
      </w:pPr>
      <w:r>
        <w:t xml:space="preserve">This training program will be accessible to everyone and administered through the University of New Brunswick College of Extended Learning at a cost-recovery fee for annual support. </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t>Communicating our member organizations’ leadership in data protection:</w:t>
      </w:r>
    </w:p>
    <w:p w:rsidR="00DF6561" w:rsidRDefault="00000000">
      <w:pPr>
        <w:numPr>
          <w:ilvl w:val="0"/>
          <w:numId w:val="1"/>
        </w:numPr>
        <w:spacing w:after="0"/>
        <w:rPr>
          <w:rFonts w:ascii="Noto Sans Symbols" w:eastAsia="Noto Sans Symbols" w:hAnsi="Noto Sans Symbols" w:cs="Noto Sans Symbols"/>
          <w:sz w:val="22"/>
          <w:szCs w:val="22"/>
        </w:rPr>
      </w:pPr>
      <w:r>
        <w:rPr>
          <w:sz w:val="22"/>
          <w:szCs w:val="22"/>
        </w:rPr>
        <w:t>The Privacy and Communications Teams are finalizing a one-pager summarizing the best practices of trusted research environment (TRE) across HDRN Canada. This will provide a plain language description of what a TRE is, what safeguards are in place to ensure data security, and our member organizations’ roles and expertise with TREs.</w:t>
      </w:r>
    </w:p>
    <w:p w:rsidR="00DF6561" w:rsidRDefault="00000000">
      <w:pPr>
        <w:numPr>
          <w:ilvl w:val="0"/>
          <w:numId w:val="1"/>
        </w:numPr>
        <w:spacing w:after="200"/>
        <w:rPr>
          <w:rFonts w:ascii="Noto Sans Symbols" w:eastAsia="Noto Sans Symbols" w:hAnsi="Noto Sans Symbols" w:cs="Noto Sans Symbols"/>
        </w:rPr>
      </w:pPr>
      <w:r>
        <w:lastRenderedPageBreak/>
        <w:t xml:space="preserve">The Privacy Team presented at the January HDRN Canada </w:t>
      </w:r>
      <w:r>
        <w:rPr>
          <w:i/>
        </w:rPr>
        <w:t>Discussion Session</w:t>
      </w:r>
      <w:r>
        <w:t>. The topic was the value of data linkage and the importance of evolving privacy-enhancing technologies, including federated analysis, to enable privacy-sensitive data use with less need for cross-border data sharing.</w:t>
      </w:r>
    </w:p>
    <w:p w:rsidR="00DF6561" w:rsidRDefault="00000000">
      <w:pPr>
        <w:pStyle w:val="Heading2"/>
        <w:tabs>
          <w:tab w:val="left" w:pos="461"/>
          <w:tab w:val="left" w:pos="461"/>
          <w:tab w:val="left" w:pos="461"/>
          <w:tab w:val="left" w:pos="461"/>
        </w:tabs>
        <w:spacing w:before="200"/>
      </w:pPr>
      <w:bookmarkStart w:id="5" w:name="_heading=h.4d34og8" w:colFirst="0" w:colLast="0"/>
      <w:bookmarkEnd w:id="5"/>
      <w:r>
        <w:t>Goal 3: Establish and Strengthen Partnerships and Provide Leadership for Evolving Data Practices</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t>Significant progress on the Pragmatic Trials Training Program (PTTP):</w:t>
      </w:r>
    </w:p>
    <w:p w:rsidR="00DF6561" w:rsidRDefault="00000000">
      <w:pPr>
        <w:numPr>
          <w:ilvl w:val="0"/>
          <w:numId w:val="1"/>
        </w:numPr>
        <w:spacing w:after="0"/>
        <w:rPr>
          <w:rFonts w:ascii="Noto Sans Symbols" w:eastAsia="Noto Sans Symbols" w:hAnsi="Noto Sans Symbols" w:cs="Noto Sans Symbols"/>
        </w:rPr>
      </w:pPr>
      <w:r>
        <w:t>There are more than 70 learners in the program.</w:t>
      </w:r>
    </w:p>
    <w:p w:rsidR="00DF6561" w:rsidRDefault="00000000">
      <w:pPr>
        <w:numPr>
          <w:ilvl w:val="0"/>
          <w:numId w:val="1"/>
        </w:numPr>
        <w:spacing w:after="0"/>
        <w:rPr>
          <w:rFonts w:ascii="Noto Sans Symbols" w:eastAsia="Noto Sans Symbols" w:hAnsi="Noto Sans Symbols" w:cs="Noto Sans Symbols"/>
        </w:rPr>
      </w:pPr>
      <w:r>
        <w:t xml:space="preserve">The program is open source, with 29 modules currently posted </w:t>
      </w:r>
      <w:hyperlink r:id="rId11">
        <w:r>
          <w:rPr>
            <w:color w:val="1155CC"/>
            <w:u w:val="single"/>
          </w:rPr>
          <w:t>on the website</w:t>
        </w:r>
      </w:hyperlink>
      <w:r>
        <w:t>.</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t>Collaborative Plan developed with international partners:</w:t>
      </w:r>
    </w:p>
    <w:p w:rsidR="00DF6561" w:rsidRDefault="00000000">
      <w:pPr>
        <w:numPr>
          <w:ilvl w:val="0"/>
          <w:numId w:val="1"/>
        </w:numPr>
        <w:spacing w:after="0"/>
        <w:rPr>
          <w:rFonts w:ascii="Noto Sans Symbols" w:eastAsia="Noto Sans Symbols" w:hAnsi="Noto Sans Symbols" w:cs="Noto Sans Symbols"/>
        </w:rPr>
      </w:pPr>
      <w:r>
        <w:t>We are already working with international partners (HDR UK, ADR UK and PHRN in Australia) on plans for shared areas of interest, all of which align with our strategic priorities, including data harmonization, social license for use of data and tools to support ease of data use.</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t>The Health Data Research (HDR) Alliance is taking shape:</w:t>
      </w:r>
    </w:p>
    <w:p w:rsidR="00DF6561" w:rsidRDefault="00000000">
      <w:pPr>
        <w:numPr>
          <w:ilvl w:val="0"/>
          <w:numId w:val="1"/>
        </w:numPr>
        <w:spacing w:after="0"/>
        <w:rPr>
          <w:rFonts w:ascii="Noto Sans Symbols" w:eastAsia="Noto Sans Symbols" w:hAnsi="Noto Sans Symbols" w:cs="Noto Sans Symbols"/>
        </w:rPr>
      </w:pPr>
      <w:r>
        <w:t>Dr. Parminder Raina, Principal Investigator for the Canadian Longitudinal Study on Aging at McMaster University, took over as Chair. The secretariat remains with HDRN Canada.</w:t>
      </w:r>
    </w:p>
    <w:p w:rsidR="00DF6561" w:rsidRDefault="00000000">
      <w:pPr>
        <w:numPr>
          <w:ilvl w:val="0"/>
          <w:numId w:val="1"/>
        </w:numPr>
        <w:spacing w:after="0"/>
        <w:rPr>
          <w:rFonts w:ascii="Noto Sans Symbols" w:eastAsia="Noto Sans Symbols" w:hAnsi="Noto Sans Symbols" w:cs="Noto Sans Symbols"/>
        </w:rPr>
      </w:pPr>
      <w:r>
        <w:t xml:space="preserve">The </w:t>
      </w:r>
      <w:r>
        <w:rPr>
          <w:i/>
        </w:rPr>
        <w:t>Working with Federated Data Forum</w:t>
      </w:r>
      <w:r>
        <w:t xml:space="preserve"> is a place for HDR Alliance dialogue about methods and approaches for working with federated data.</w:t>
      </w:r>
    </w:p>
    <w:p w:rsidR="00DF6561" w:rsidRDefault="00000000">
      <w:pPr>
        <w:numPr>
          <w:ilvl w:val="0"/>
          <w:numId w:val="1"/>
        </w:numPr>
        <w:spacing w:after="0"/>
        <w:rPr>
          <w:rFonts w:ascii="Noto Sans Symbols" w:eastAsia="Noto Sans Symbols" w:hAnsi="Noto Sans Symbols" w:cs="Noto Sans Symbols"/>
        </w:rPr>
      </w:pPr>
      <w:r>
        <w:t xml:space="preserve">Members agreed to develop guidance around the reporting of small cells in data analytics reports. </w:t>
      </w:r>
    </w:p>
    <w:p w:rsidR="00DF6561" w:rsidRDefault="00000000">
      <w:pPr>
        <w:numPr>
          <w:ilvl w:val="0"/>
          <w:numId w:val="1"/>
        </w:numPr>
        <w:spacing w:after="200"/>
        <w:rPr>
          <w:rFonts w:ascii="Noto Sans Symbols" w:eastAsia="Noto Sans Symbols" w:hAnsi="Noto Sans Symbols" w:cs="Noto Sans Symbols"/>
        </w:rPr>
      </w:pPr>
      <w:r>
        <w:t>There was also interest in supporting pilot work using HDRN Canada’s existing federated analysis methods to analyze dementia prevalence and incidence across Canada.</w:t>
      </w:r>
    </w:p>
    <w:p w:rsidR="00DF6561" w:rsidRDefault="00000000">
      <w:pPr>
        <w:pStyle w:val="Heading2"/>
        <w:tabs>
          <w:tab w:val="left" w:pos="461"/>
          <w:tab w:val="left" w:pos="461"/>
          <w:tab w:val="left" w:pos="461"/>
          <w:tab w:val="left" w:pos="461"/>
        </w:tabs>
      </w:pPr>
      <w:bookmarkStart w:id="6" w:name="_heading=h.2s8eyo1" w:colFirst="0" w:colLast="0"/>
      <w:bookmarkEnd w:id="6"/>
      <w:r>
        <w:lastRenderedPageBreak/>
        <w:t>Goal 4: Strengthen Data Use to Improve Equity, and Support Indigenous-led Data Sovereignty</w:t>
      </w:r>
    </w:p>
    <w:p w:rsidR="00DF6561" w:rsidRDefault="00000000">
      <w:pPr>
        <w:tabs>
          <w:tab w:val="left" w:pos="461"/>
        </w:tabs>
        <w:spacing w:before="200"/>
        <w:rPr>
          <w:color w:val="006A78"/>
          <w:sz w:val="28"/>
          <w:szCs w:val="28"/>
        </w:rPr>
      </w:pPr>
      <w:r>
        <w:rPr>
          <w:color w:val="006A78"/>
          <w:sz w:val="28"/>
          <w:szCs w:val="28"/>
        </w:rPr>
        <w:t>We are implementing the IDEA strategies that are part of our Strategic Plan:</w:t>
      </w:r>
    </w:p>
    <w:p w:rsidR="00DF6561" w:rsidRDefault="00000000">
      <w:pPr>
        <w:spacing w:before="200" w:after="200"/>
        <w:rPr>
          <w:b/>
        </w:rPr>
      </w:pPr>
      <w:r>
        <w:rPr>
          <w:b/>
        </w:rPr>
        <w:t>IDEA Strategy 1: Learning/Unlearning</w:t>
      </w:r>
    </w:p>
    <w:p w:rsidR="00DF6561" w:rsidRDefault="00000000">
      <w:pPr>
        <w:numPr>
          <w:ilvl w:val="0"/>
          <w:numId w:val="5"/>
        </w:numPr>
        <w:spacing w:after="0"/>
      </w:pPr>
      <w:r>
        <w:t>Completed 6 months of IDEA Community of Practice Unlearning sessions with 75% of respondents strongly agreeing that the material shared was useful and relevant, leading to further disseminating their learnings in their own host organizations.</w:t>
      </w:r>
    </w:p>
    <w:p w:rsidR="00DF6561" w:rsidRDefault="00000000">
      <w:pPr>
        <w:spacing w:before="200" w:after="200"/>
      </w:pPr>
      <w:r>
        <w:rPr>
          <w:b/>
        </w:rPr>
        <w:t>IDEA Strategy 2: Facilitating IDEA in Data Research</w:t>
      </w:r>
    </w:p>
    <w:p w:rsidR="00DF6561" w:rsidRDefault="00000000">
      <w:pPr>
        <w:numPr>
          <w:ilvl w:val="0"/>
          <w:numId w:val="5"/>
        </w:numPr>
        <w:spacing w:after="0"/>
      </w:pPr>
      <w:r>
        <w:t>Agreement to create four Briefing Notes providing background and recommendations for incorporating IDEA into HDRN Canada infrastructure projects: data biographies, national concept dictionary, common data models, and phenotype libraries.</w:t>
      </w:r>
    </w:p>
    <w:p w:rsidR="00DF6561" w:rsidRDefault="00000000">
      <w:pPr>
        <w:spacing w:before="200" w:after="200"/>
        <w:rPr>
          <w:b/>
        </w:rPr>
      </w:pPr>
      <w:r>
        <w:rPr>
          <w:b/>
        </w:rPr>
        <w:t>IDEA Strategy 3: Cultivating Trust and Reciprocity in Community Partnerships</w:t>
      </w:r>
    </w:p>
    <w:p w:rsidR="00DF6561" w:rsidRDefault="00000000">
      <w:pPr>
        <w:numPr>
          <w:ilvl w:val="0"/>
          <w:numId w:val="5"/>
        </w:numPr>
        <w:spacing w:after="0"/>
      </w:pPr>
      <w:r>
        <w:t>Agreement to create a process for guiding public engagement and incorporation of IDEA into all internal projects.</w:t>
      </w:r>
    </w:p>
    <w:p w:rsidR="00DF6561" w:rsidRDefault="00000000">
      <w:pPr>
        <w:numPr>
          <w:ilvl w:val="0"/>
          <w:numId w:val="5"/>
        </w:numPr>
        <w:spacing w:after="0"/>
      </w:pPr>
      <w:r>
        <w:t xml:space="preserve">IDEA Team members provided guidance for the 2025 </w:t>
      </w:r>
      <w:r>
        <w:rPr>
          <w:i/>
        </w:rPr>
        <w:t>Health Data for All of Us</w:t>
      </w:r>
      <w:r>
        <w:t xml:space="preserve"> public forum agenda.</w:t>
      </w:r>
    </w:p>
    <w:p w:rsidR="00DF6561" w:rsidRDefault="00000000">
      <w:pPr>
        <w:tabs>
          <w:tab w:val="left" w:pos="461"/>
        </w:tabs>
        <w:spacing w:before="200"/>
        <w:rPr>
          <w:color w:val="006A78"/>
          <w:sz w:val="28"/>
          <w:szCs w:val="28"/>
        </w:rPr>
      </w:pPr>
      <w:r>
        <w:rPr>
          <w:color w:val="006A78"/>
          <w:sz w:val="28"/>
          <w:szCs w:val="28"/>
        </w:rPr>
        <w:t xml:space="preserve">The </w:t>
      </w:r>
      <w:r>
        <w:rPr>
          <w:i/>
          <w:color w:val="006A78"/>
          <w:sz w:val="28"/>
          <w:szCs w:val="28"/>
        </w:rPr>
        <w:t>Big IDEAs About Health Data Speaker Series</w:t>
      </w:r>
      <w:r>
        <w:rPr>
          <w:color w:val="006A78"/>
          <w:sz w:val="28"/>
          <w:szCs w:val="28"/>
        </w:rPr>
        <w:t xml:space="preserve"> continues to draw attention:</w:t>
      </w:r>
    </w:p>
    <w:p w:rsidR="00DF6561" w:rsidRDefault="00000000">
      <w:pPr>
        <w:numPr>
          <w:ilvl w:val="0"/>
          <w:numId w:val="4"/>
        </w:numPr>
        <w:spacing w:before="200" w:after="0"/>
        <w:rPr>
          <w:rFonts w:ascii="Noto Sans Symbols" w:eastAsia="Noto Sans Symbols" w:hAnsi="Noto Sans Symbols" w:cs="Noto Sans Symbols"/>
        </w:rPr>
      </w:pPr>
      <w:r>
        <w:t xml:space="preserve">The second year of the </w:t>
      </w:r>
      <w:hyperlink r:id="rId12">
        <w:r>
          <w:rPr>
            <w:i/>
            <w:color w:val="1155CC"/>
            <w:u w:val="single"/>
          </w:rPr>
          <w:t>Big IDEAs About Health Data</w:t>
        </w:r>
      </w:hyperlink>
      <w:r>
        <w:t xml:space="preserve"> webinar series launched with a highly attended talk on </w:t>
      </w:r>
      <w:r>
        <w:rPr>
          <w:i/>
        </w:rPr>
        <w:t>2S/LGBTQQIA+ Communities - Chronic Health &amp; Administrative Health Data</w:t>
      </w:r>
      <w:r>
        <w:t xml:space="preserve"> with 225 live attendees, bringing over 3000+ viewers of the webinar series to the YouTube page.</w:t>
      </w:r>
      <w:r>
        <w:br w:type="page"/>
      </w:r>
    </w:p>
    <w:p w:rsidR="00DF6561" w:rsidRDefault="00000000">
      <w:pPr>
        <w:tabs>
          <w:tab w:val="left" w:pos="461"/>
        </w:tabs>
        <w:spacing w:before="200"/>
        <w:rPr>
          <w:color w:val="006A78"/>
          <w:sz w:val="28"/>
          <w:szCs w:val="28"/>
        </w:rPr>
      </w:pPr>
      <w:r>
        <w:rPr>
          <w:color w:val="006A78"/>
          <w:sz w:val="28"/>
          <w:szCs w:val="28"/>
        </w:rPr>
        <w:lastRenderedPageBreak/>
        <w:t>Indigenous community-led DASH project makes substantial progress:</w:t>
      </w:r>
    </w:p>
    <w:p w:rsidR="00DF6561" w:rsidRDefault="00000000">
      <w:pPr>
        <w:numPr>
          <w:ilvl w:val="0"/>
          <w:numId w:val="2"/>
        </w:numPr>
        <w:spacing w:after="0"/>
      </w:pPr>
      <w:r>
        <w:t>The Canadian Alliance for Health Hearts and Minds (CAHHM) developed a research proposal focused on nutrition and brain health and is in the process of acquiring the remaining details for the DASH application (e.g., evidence of community approval).</w:t>
      </w:r>
    </w:p>
    <w:p w:rsidR="00DF6561" w:rsidRDefault="00000000">
      <w:pPr>
        <w:numPr>
          <w:ilvl w:val="0"/>
          <w:numId w:val="2"/>
        </w:numPr>
        <w:spacing w:after="0"/>
      </w:pPr>
      <w:r>
        <w:t>The Indigenous Data Team drafted an outline of an evaluation plan as part of the community data linkage project to understand the experiences of Indigenous community-based teams working with DASH/HDRN Canada to answer health questions.</w:t>
      </w:r>
    </w:p>
    <w:p w:rsidR="00DF6561" w:rsidRDefault="00000000">
      <w:pPr>
        <w:numPr>
          <w:ilvl w:val="0"/>
          <w:numId w:val="2"/>
        </w:numPr>
        <w:spacing w:after="200"/>
      </w:pPr>
      <w:r>
        <w:t>We will be sponsoring attendance at the Global Indigenous Data Sovereignty Conference taking place in Australia.</w:t>
      </w:r>
    </w:p>
    <w:p w:rsidR="00DF6561" w:rsidRDefault="00000000">
      <w:pPr>
        <w:pStyle w:val="Heading2"/>
        <w:tabs>
          <w:tab w:val="left" w:pos="461"/>
          <w:tab w:val="left" w:pos="461"/>
          <w:tab w:val="left" w:pos="461"/>
          <w:tab w:val="left" w:pos="461"/>
        </w:tabs>
      </w:pPr>
      <w:bookmarkStart w:id="7" w:name="_heading=h.17dp8vu" w:colFirst="0" w:colLast="0"/>
      <w:bookmarkEnd w:id="7"/>
      <w:r>
        <w:t>Goal 5: Ensure Purposeful and Ongoing Public and Community Involvement</w:t>
      </w:r>
    </w:p>
    <w:p w:rsidR="00DF6561" w:rsidRDefault="00000000">
      <w:pPr>
        <w:tabs>
          <w:tab w:val="left" w:pos="461"/>
        </w:tabs>
        <w:spacing w:before="200"/>
        <w:rPr>
          <w:color w:val="006A78"/>
          <w:sz w:val="28"/>
          <w:szCs w:val="28"/>
        </w:rPr>
      </w:pPr>
      <w:r>
        <w:rPr>
          <w:color w:val="006A78"/>
          <w:sz w:val="28"/>
          <w:szCs w:val="28"/>
        </w:rPr>
        <w:t>We are writing a foundational paper on Public Trust and Data Literacy in collaboration with the Public Health Agency of Canada (PHAC):</w:t>
      </w:r>
    </w:p>
    <w:p w:rsidR="00DF6561" w:rsidRDefault="00000000">
      <w:pPr>
        <w:numPr>
          <w:ilvl w:val="0"/>
          <w:numId w:val="5"/>
        </w:numPr>
        <w:spacing w:before="200" w:after="0"/>
      </w:pPr>
      <w:r>
        <w:t>Focus groups and key informant interviews were conducted with patient/public partners and individuals with expertise in data privacy, trust, public/patient engagement and other relevant topic areas to inform the development of the paper.</w:t>
      </w:r>
    </w:p>
    <w:p w:rsidR="00DF6561" w:rsidRDefault="00000000">
      <w:pPr>
        <w:numPr>
          <w:ilvl w:val="0"/>
          <w:numId w:val="5"/>
        </w:numPr>
        <w:spacing w:after="0"/>
      </w:pPr>
      <w:r>
        <w:t>We are creating new partnerships with organizations that are leading other public trust and data literacy initiatives as part of this PHAC work, including the College of Health Information Management Association (CHIMA) and Simon Fraser University.</w:t>
      </w:r>
    </w:p>
    <w:p w:rsidR="00DF6561" w:rsidRDefault="00000000">
      <w:pPr>
        <w:numPr>
          <w:ilvl w:val="0"/>
          <w:numId w:val="5"/>
        </w:numPr>
        <w:spacing w:after="0"/>
      </w:pPr>
      <w:r>
        <w:t>This work is further establishing HDRN Canada’s expertise and leadership in this area.</w:t>
      </w:r>
    </w:p>
    <w:p w:rsidR="00DF6561" w:rsidRDefault="00000000">
      <w:pPr>
        <w:tabs>
          <w:tab w:val="left" w:pos="461"/>
        </w:tabs>
        <w:spacing w:before="200"/>
        <w:rPr>
          <w:color w:val="006A78"/>
          <w:sz w:val="28"/>
          <w:szCs w:val="28"/>
        </w:rPr>
      </w:pPr>
      <w:r>
        <w:rPr>
          <w:color w:val="006A78"/>
          <w:sz w:val="28"/>
          <w:szCs w:val="28"/>
        </w:rPr>
        <w:t>Strong and engaged Public Advisory Council (PAC):</w:t>
      </w:r>
    </w:p>
    <w:p w:rsidR="00DF6561" w:rsidRDefault="00000000">
      <w:pPr>
        <w:numPr>
          <w:ilvl w:val="0"/>
          <w:numId w:val="3"/>
        </w:numPr>
        <w:spacing w:before="200" w:after="0"/>
        <w:rPr>
          <w:rFonts w:ascii="Noto Sans Symbols" w:eastAsia="Noto Sans Symbols" w:hAnsi="Noto Sans Symbols" w:cs="Noto Sans Symbols"/>
        </w:rPr>
      </w:pPr>
      <w:r>
        <w:t xml:space="preserve">The PAC continues to advise on various network initiatives, including grant applications (CFI fund and CIHR’s Pandemic Preparedness) and the 2025 </w:t>
      </w:r>
      <w:r>
        <w:rPr>
          <w:i/>
        </w:rPr>
        <w:t>Health Data for All of Us</w:t>
      </w:r>
      <w:r>
        <w:t xml:space="preserve"> public forum agenda. </w:t>
      </w:r>
    </w:p>
    <w:p w:rsidR="00DF6561" w:rsidRDefault="00000000">
      <w:pPr>
        <w:numPr>
          <w:ilvl w:val="0"/>
          <w:numId w:val="3"/>
        </w:numPr>
        <w:spacing w:after="0"/>
        <w:rPr>
          <w:rFonts w:ascii="Noto Sans Symbols" w:eastAsia="Noto Sans Symbols" w:hAnsi="Noto Sans Symbols" w:cs="Noto Sans Symbols"/>
        </w:rPr>
      </w:pPr>
      <w:r>
        <w:t>A fifth new member joined the PAC this Fall and identifies as an Indigenous advocate.</w:t>
      </w:r>
    </w:p>
    <w:p w:rsidR="00DF6561" w:rsidRDefault="00000000">
      <w:pPr>
        <w:numPr>
          <w:ilvl w:val="0"/>
          <w:numId w:val="3"/>
        </w:numPr>
        <w:spacing w:after="200"/>
        <w:rPr>
          <w:rFonts w:ascii="Noto Sans Symbols" w:eastAsia="Noto Sans Symbols" w:hAnsi="Noto Sans Symbols" w:cs="Noto Sans Symbols"/>
        </w:rPr>
      </w:pPr>
      <w:r>
        <w:t xml:space="preserve">The PAC has consistently raised concerns regarding the impact of AI, and this influenced the choice of this topic for our 2025 </w:t>
      </w:r>
      <w:r>
        <w:rPr>
          <w:i/>
        </w:rPr>
        <w:t xml:space="preserve">Health Data for All of Us </w:t>
      </w:r>
      <w:r>
        <w:t>public forum.</w:t>
      </w:r>
    </w:p>
    <w:p w:rsidR="00DF6561" w:rsidRDefault="00000000">
      <w:pPr>
        <w:spacing w:before="200" w:after="200"/>
        <w:rPr>
          <w:sz w:val="28"/>
          <w:szCs w:val="28"/>
        </w:rPr>
      </w:pPr>
      <w:r>
        <w:rPr>
          <w:rFonts w:ascii="Lato" w:eastAsia="Lato" w:hAnsi="Lato" w:cs="Lato"/>
          <w:color w:val="006A78"/>
          <w:sz w:val="28"/>
          <w:szCs w:val="28"/>
        </w:rPr>
        <w:lastRenderedPageBreak/>
        <w:t>Development of communications products on key PE initiatives:</w:t>
      </w:r>
    </w:p>
    <w:p w:rsidR="00DF6561" w:rsidRDefault="00000000">
      <w:pPr>
        <w:numPr>
          <w:ilvl w:val="0"/>
          <w:numId w:val="3"/>
        </w:numPr>
        <w:spacing w:after="200"/>
        <w:rPr>
          <w:rFonts w:ascii="Noto Sans Symbols" w:eastAsia="Noto Sans Symbols" w:hAnsi="Noto Sans Symbols" w:cs="Noto Sans Symbols"/>
        </w:rPr>
      </w:pPr>
      <w:r>
        <w:t xml:space="preserve">Communications initiatives include the development of a glossary of health data-related terms, led by four PAC members, and a planned publication summarizing joint health data social </w:t>
      </w:r>
      <w:proofErr w:type="spellStart"/>
      <w:r>
        <w:t>licence</w:t>
      </w:r>
      <w:proofErr w:type="spellEnd"/>
      <w:r>
        <w:t xml:space="preserve"> work undertaken in collaboration with Population Health Research Network Australia.</w:t>
      </w:r>
    </w:p>
    <w:p w:rsidR="00DF6561" w:rsidRDefault="00000000">
      <w:pPr>
        <w:pStyle w:val="Heading2"/>
        <w:tabs>
          <w:tab w:val="left" w:pos="461"/>
          <w:tab w:val="left" w:pos="461"/>
          <w:tab w:val="left" w:pos="461"/>
          <w:tab w:val="left" w:pos="461"/>
        </w:tabs>
      </w:pPr>
      <w:bookmarkStart w:id="8" w:name="_heading=h.3rdcrjn" w:colFirst="0" w:colLast="0"/>
      <w:bookmarkEnd w:id="8"/>
      <w:r>
        <w:t>Success Factor: Cohesive Network with Effective and Sustainable Operations</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t>HDRN Canada’s 2025 CFI Innovation Fund application is now submitted!</w:t>
      </w:r>
    </w:p>
    <w:p w:rsidR="00DF6561" w:rsidRDefault="00000000">
      <w:pPr>
        <w:numPr>
          <w:ilvl w:val="0"/>
          <w:numId w:val="1"/>
        </w:numPr>
        <w:spacing w:before="200" w:after="0"/>
        <w:rPr>
          <w:rFonts w:ascii="Noto Sans Symbols" w:eastAsia="Noto Sans Symbols" w:hAnsi="Noto Sans Symbols" w:cs="Noto Sans Symbols"/>
        </w:rPr>
      </w:pPr>
      <w:r>
        <w:t>HDRN Canada has officially submitted our full application to the Canadian Foundation for Innovation (CFI) Innovation, requesting $11.5m in funds over five years. The results are expected in November 2025.</w:t>
      </w:r>
    </w:p>
    <w:p w:rsidR="00DF6561" w:rsidRDefault="00000000">
      <w:pPr>
        <w:numPr>
          <w:ilvl w:val="1"/>
          <w:numId w:val="1"/>
        </w:numPr>
        <w:spacing w:after="0"/>
        <w:rPr>
          <w:rFonts w:ascii="Courier New" w:eastAsia="Courier New" w:hAnsi="Courier New" w:cs="Courier New"/>
        </w:rPr>
      </w:pPr>
      <w:r>
        <w:t xml:space="preserve">The </w:t>
      </w:r>
      <w:r>
        <w:rPr>
          <w:b/>
        </w:rPr>
        <w:t>Health Data Interoperability Technology Development and Research Program</w:t>
      </w:r>
      <w:r>
        <w:t xml:space="preserve"> represents a major achievement of planning for HDRN Canada and provides a roadmap for development over the next 2-5 years. </w:t>
      </w:r>
    </w:p>
    <w:p w:rsidR="00DF6561" w:rsidRDefault="00000000">
      <w:pPr>
        <w:numPr>
          <w:ilvl w:val="1"/>
          <w:numId w:val="1"/>
        </w:numPr>
        <w:spacing w:after="0"/>
        <w:rPr>
          <w:rFonts w:ascii="Courier New" w:eastAsia="Courier New" w:hAnsi="Courier New" w:cs="Courier New"/>
        </w:rPr>
      </w:pPr>
      <w:r>
        <w:t xml:space="preserve">The CFI </w:t>
      </w:r>
      <w:proofErr w:type="gramStart"/>
      <w:r>
        <w:t>includes  Population</w:t>
      </w:r>
      <w:proofErr w:type="gramEnd"/>
      <w:r>
        <w:t xml:space="preserve"> Data BC, Health Research Data Platform–SK, Manitoba Centre for Health Policy, New Brunswick Institute for Research Data and Training, and the pragmatic trial program at Western University. CIHI and ICES plan to participate through other funds as well (ICES submitted a separate but connected CFI proposal), and the program will be designed to include other sites as funding is available.</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t>Our Pandemic Preparedness Platform grant was submitted to CIHR:</w:t>
      </w:r>
    </w:p>
    <w:p w:rsidR="00DF6561" w:rsidRDefault="00000000">
      <w:pPr>
        <w:numPr>
          <w:ilvl w:val="0"/>
          <w:numId w:val="1"/>
        </w:numPr>
        <w:spacing w:before="200" w:after="0"/>
        <w:rPr>
          <w:rFonts w:ascii="Noto Sans Symbols" w:eastAsia="Noto Sans Symbols" w:hAnsi="Noto Sans Symbols" w:cs="Noto Sans Symbols"/>
        </w:rPr>
      </w:pPr>
      <w:r>
        <w:t xml:space="preserve">This is a $3m grant that proposes the development of services that can be activated quickly in response to a health emergency. All of what we propose leverages existing capacity (e.g. the CAN-ASK service). </w:t>
      </w:r>
    </w:p>
    <w:p w:rsidR="00DF6561" w:rsidRDefault="00000000">
      <w:pPr>
        <w:numPr>
          <w:ilvl w:val="0"/>
          <w:numId w:val="1"/>
        </w:numPr>
        <w:spacing w:after="0"/>
        <w:rPr>
          <w:rFonts w:ascii="Noto Sans Symbols" w:eastAsia="Noto Sans Symbols" w:hAnsi="Noto Sans Symbols" w:cs="Noto Sans Symbols"/>
        </w:rPr>
      </w:pPr>
      <w:r>
        <w:t xml:space="preserve">We received letters of support from Health Canada, Canada’s Drug Agency and the First Nations Information Governance Centre (FNIGC). </w:t>
      </w:r>
    </w:p>
    <w:p w:rsidR="00DF6561" w:rsidRDefault="00000000">
      <w:pPr>
        <w:numPr>
          <w:ilvl w:val="1"/>
          <w:numId w:val="1"/>
        </w:numPr>
        <w:spacing w:after="0"/>
        <w:rPr>
          <w:rFonts w:ascii="Courier New" w:eastAsia="Courier New" w:hAnsi="Courier New" w:cs="Courier New"/>
        </w:rPr>
      </w:pPr>
      <w:r>
        <w:t>If successful, this would be our first formal partnership with FNIGC.</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lastRenderedPageBreak/>
        <w:t>Strategic recommendations provided by Santis Health:</w:t>
      </w:r>
    </w:p>
    <w:p w:rsidR="00DF6561" w:rsidRDefault="00000000">
      <w:pPr>
        <w:numPr>
          <w:ilvl w:val="0"/>
          <w:numId w:val="1"/>
        </w:numPr>
        <w:spacing w:before="200" w:after="200"/>
        <w:rPr>
          <w:rFonts w:ascii="Noto Sans Symbols" w:eastAsia="Noto Sans Symbols" w:hAnsi="Noto Sans Symbols" w:cs="Noto Sans Symbols"/>
        </w:rPr>
      </w:pPr>
      <w:r>
        <w:t>Santis Health provided the final version of its strategic recommendations to HDRN Canada based on the environmental scan. The Executives will be following up on those recommendations.</w:t>
      </w:r>
    </w:p>
    <w:p w:rsidR="00DF6561" w:rsidRDefault="00000000">
      <w:pPr>
        <w:tabs>
          <w:tab w:val="left" w:pos="461"/>
          <w:tab w:val="left" w:pos="461"/>
          <w:tab w:val="left" w:pos="461"/>
          <w:tab w:val="left" w:pos="461"/>
          <w:tab w:val="left" w:pos="461"/>
          <w:tab w:val="left" w:pos="461"/>
        </w:tabs>
        <w:spacing w:before="200"/>
        <w:rPr>
          <w:color w:val="006A78"/>
          <w:sz w:val="28"/>
          <w:szCs w:val="28"/>
        </w:rPr>
      </w:pPr>
      <w:r>
        <w:rPr>
          <w:color w:val="006A78"/>
          <w:sz w:val="28"/>
          <w:szCs w:val="28"/>
        </w:rPr>
        <w:t>Connection, communication and collaboration - Introducing Google Chat:</w:t>
      </w:r>
    </w:p>
    <w:p w:rsidR="00DF6561" w:rsidRDefault="00000000">
      <w:pPr>
        <w:numPr>
          <w:ilvl w:val="0"/>
          <w:numId w:val="1"/>
        </w:numPr>
        <w:spacing w:before="200" w:after="0"/>
        <w:rPr>
          <w:rFonts w:ascii="Noto Sans Symbols" w:eastAsia="Noto Sans Symbols" w:hAnsi="Noto Sans Symbols" w:cs="Noto Sans Symbols"/>
        </w:rPr>
      </w:pPr>
      <w:r>
        <w:t>We responded to a request from Network members for more real-time communication tools by setting up Google Chat.  This provides more seamless connections across time zones, supports collaboration and helps to build a greater sense of community.</w:t>
      </w:r>
    </w:p>
    <w:p w:rsidR="00DF6561" w:rsidRDefault="00000000">
      <w:pPr>
        <w:numPr>
          <w:ilvl w:val="0"/>
          <w:numId w:val="1"/>
        </w:numPr>
        <w:spacing w:after="200"/>
        <w:rPr>
          <w:rFonts w:ascii="Noto Sans Symbols" w:eastAsia="Noto Sans Symbols" w:hAnsi="Noto Sans Symbols" w:cs="Noto Sans Symbols"/>
        </w:rPr>
      </w:pPr>
      <w:r>
        <w:t>HDRN Canada Communications Team launched two new external newsletter editions of Data Points (</w:t>
      </w:r>
      <w:hyperlink r:id="rId13">
        <w:r>
          <w:rPr>
            <w:color w:val="1155CC"/>
            <w:u w:val="single"/>
          </w:rPr>
          <w:t>November</w:t>
        </w:r>
      </w:hyperlink>
      <w:r>
        <w:t xml:space="preserve">, </w:t>
      </w:r>
      <w:hyperlink r:id="rId14">
        <w:r>
          <w:rPr>
            <w:color w:val="1155CC"/>
            <w:u w:val="single"/>
          </w:rPr>
          <w:t>December</w:t>
        </w:r>
      </w:hyperlink>
      <w:r>
        <w:t xml:space="preserve"> and </w:t>
      </w:r>
      <w:hyperlink r:id="rId15">
        <w:r>
          <w:rPr>
            <w:color w:val="1155CC"/>
            <w:u w:val="single"/>
          </w:rPr>
          <w:t>January</w:t>
        </w:r>
      </w:hyperlink>
      <w:r>
        <w:t>) and internal newsletter editions of Inside HDRN Canada (</w:t>
      </w:r>
      <w:hyperlink r:id="rId16">
        <w:r>
          <w:rPr>
            <w:color w:val="1155CC"/>
            <w:u w:val="single"/>
          </w:rPr>
          <w:t>December</w:t>
        </w:r>
      </w:hyperlink>
      <w:r>
        <w:t xml:space="preserve"> and </w:t>
      </w:r>
      <w:hyperlink r:id="rId17">
        <w:r>
          <w:rPr>
            <w:color w:val="1155CC"/>
            <w:u w:val="single"/>
          </w:rPr>
          <w:t>January</w:t>
        </w:r>
      </w:hyperlink>
      <w:r>
        <w:t>) to promote internal communications across the Network.</w:t>
      </w:r>
    </w:p>
    <w:p w:rsidR="00DF6561" w:rsidRDefault="00000000">
      <w:pPr>
        <w:pStyle w:val="Heading2"/>
        <w:spacing w:after="200"/>
      </w:pPr>
      <w:bookmarkStart w:id="9" w:name="_heading=h.6wgxdx87qo1f" w:colFirst="0" w:colLast="0"/>
      <w:bookmarkEnd w:id="9"/>
      <w:r>
        <w:t>Success Factor: Supportive and Engaged Legislative and Policy Ecosystem and Community of Data Users</w:t>
      </w:r>
    </w:p>
    <w:p w:rsidR="00DF6561" w:rsidRDefault="00000000">
      <w:pPr>
        <w:tabs>
          <w:tab w:val="left" w:pos="461"/>
          <w:tab w:val="left" w:pos="461"/>
          <w:tab w:val="left" w:pos="461"/>
          <w:tab w:val="left" w:pos="461"/>
          <w:tab w:val="left" w:pos="461"/>
          <w:tab w:val="left" w:pos="461"/>
        </w:tabs>
        <w:rPr>
          <w:color w:val="006A78"/>
          <w:sz w:val="28"/>
          <w:szCs w:val="28"/>
        </w:rPr>
      </w:pPr>
      <w:r>
        <w:rPr>
          <w:color w:val="006A78"/>
          <w:sz w:val="28"/>
          <w:szCs w:val="28"/>
        </w:rPr>
        <w:t>More opportunities for the pan-</w:t>
      </w:r>
      <w:proofErr w:type="spellStart"/>
      <w:r>
        <w:rPr>
          <w:color w:val="006A78"/>
          <w:sz w:val="28"/>
          <w:szCs w:val="28"/>
        </w:rPr>
        <w:t>CANadian</w:t>
      </w:r>
      <w:proofErr w:type="spellEnd"/>
      <w:r>
        <w:rPr>
          <w:color w:val="006A78"/>
          <w:sz w:val="28"/>
          <w:szCs w:val="28"/>
        </w:rPr>
        <w:t xml:space="preserve"> data Analytic Service for Knowledge users (CAN-ASK) initiative: </w:t>
      </w:r>
    </w:p>
    <w:p w:rsidR="00DF6561" w:rsidRDefault="00000000">
      <w:pPr>
        <w:numPr>
          <w:ilvl w:val="0"/>
          <w:numId w:val="1"/>
        </w:numPr>
        <w:spacing w:after="0"/>
        <w:rPr>
          <w:rFonts w:ascii="Noto Sans Symbols" w:eastAsia="Noto Sans Symbols" w:hAnsi="Noto Sans Symbols" w:cs="Noto Sans Symbols"/>
        </w:rPr>
      </w:pPr>
      <w:r>
        <w:t xml:space="preserve">We reached an agreement on two new contracts with Canada’s Drug Agency (CDA-AMC). These relate to analytic reports on diabetes and contraception and OMOP CDM implementation. </w:t>
      </w:r>
    </w:p>
    <w:p w:rsidR="00DF6561" w:rsidRDefault="00000000">
      <w:pPr>
        <w:numPr>
          <w:ilvl w:val="0"/>
          <w:numId w:val="1"/>
        </w:numPr>
        <w:spacing w:after="0"/>
        <w:rPr>
          <w:rFonts w:ascii="Noto Sans Symbols" w:eastAsia="Noto Sans Symbols" w:hAnsi="Noto Sans Symbols" w:cs="Noto Sans Symbols"/>
        </w:rPr>
      </w:pPr>
      <w:r>
        <w:t>HDRN Canada is collaborating with CIHI to optimize the use of the complementary data holdings of both CIHI and provincial sites. CIHI is acting as both a member site of HDRN Canada and under its own contract with CDA-AMC for a separate concierge service.</w:t>
      </w:r>
    </w:p>
    <w:p w:rsidR="00DF6561" w:rsidRDefault="00000000">
      <w:pPr>
        <w:numPr>
          <w:ilvl w:val="1"/>
          <w:numId w:val="1"/>
        </w:numPr>
        <w:spacing w:after="0"/>
        <w:rPr>
          <w:rFonts w:ascii="Courier New" w:eastAsia="Courier New" w:hAnsi="Courier New" w:cs="Courier New"/>
        </w:rPr>
      </w:pPr>
      <w:r>
        <w:t>There is potential for further work next fiscal year.</w:t>
      </w:r>
    </w:p>
    <w:p w:rsidR="00DF6561" w:rsidRDefault="00000000">
      <w:pPr>
        <w:numPr>
          <w:ilvl w:val="0"/>
          <w:numId w:val="1"/>
        </w:numPr>
        <w:spacing w:after="0"/>
        <w:rPr>
          <w:rFonts w:ascii="Noto Sans Symbols" w:eastAsia="Noto Sans Symbols" w:hAnsi="Noto Sans Symbols" w:cs="Noto Sans Symbols"/>
        </w:rPr>
      </w:pPr>
      <w:r>
        <w:t>Three potential opportunities for CAN-ASK are being assessed for feasibility from: Boehringer Ingelheim; the Conference Board of Canada; and the Sickle Cell Disease Association of Canada. Secure funding for this service is a priority.</w:t>
      </w:r>
    </w:p>
    <w:sectPr w:rsidR="00DF6561">
      <w:footerReference w:type="even" r:id="rId18"/>
      <w:footerReference w:type="default" r:id="rId19"/>
      <w:footerReference w:type="first" r:id="rId20"/>
      <w:pgSz w:w="12240" w:h="15840"/>
      <w:pgMar w:top="1440" w:right="1080" w:bottom="1440" w:left="1080" w:header="0" w:footer="96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7C70" w:rsidRDefault="00437C70">
      <w:pPr>
        <w:spacing w:after="0" w:line="240" w:lineRule="auto"/>
      </w:pPr>
      <w:r>
        <w:separator/>
      </w:r>
    </w:p>
  </w:endnote>
  <w:endnote w:type="continuationSeparator" w:id="0">
    <w:p w:rsidR="00437C70" w:rsidRDefault="00437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F978C45-B8E7-C64D-A9CF-3C62EBD715CD}"/>
    <w:embedBold r:id="rId2" w:fontKey="{365B7AF8-B922-9B4E-BD21-DC969DCA3DF1}"/>
    <w:embedItalic r:id="rId3" w:fontKey="{24A74F82-91F2-C14B-9536-BCB5F08D1B10}"/>
  </w:font>
  <w:font w:name="Arial">
    <w:panose1 w:val="020B0604020202020204"/>
    <w:charset w:val="00"/>
    <w:family w:val="swiss"/>
    <w:pitch w:val="variable"/>
    <w:sig w:usb0="E0002EFF" w:usb1="C000785B" w:usb2="00000009" w:usb3="00000000" w:csb0="000001FF" w:csb1="00000000"/>
    <w:embedRegular r:id="rId4" w:fontKey="{7F923B9A-7143-B94B-A85C-54327FE035AA}"/>
    <w:embedBold r:id="rId5" w:fontKey="{39244FA2-326A-4F4E-AA1D-E17DE5285505}"/>
    <w:embedItalic r:id="rId6" w:fontKey="{C0591312-1EF1-EB40-BD07-F4340A65453E}"/>
  </w:font>
  <w:font w:name="Lato">
    <w:panose1 w:val="020F0502020204030203"/>
    <w:charset w:val="00"/>
    <w:family w:val="swiss"/>
    <w:pitch w:val="variable"/>
    <w:sig w:usb0="E10002FF" w:usb1="5000ECFF" w:usb2="00000021" w:usb3="00000000" w:csb0="0000019F" w:csb1="00000000"/>
    <w:embedRegular r:id="rId7" w:fontKey="{35C7F424-0159-CB43-9999-407929C0D2BA}"/>
    <w:embedBold r:id="rId8" w:fontKey="{A2F8118D-47FD-FC45-8FB6-F745881E7C9B}"/>
  </w:font>
  <w:font w:name="Consolas">
    <w:panose1 w:val="020B0609020204030204"/>
    <w:charset w:val="00"/>
    <w:family w:val="modern"/>
    <w:pitch w:val="fixed"/>
    <w:sig w:usb0="E10006FF" w:usb1="4000FCFF" w:usb2="00000009" w:usb3="00000000" w:csb0="0000019F" w:csb1="00000000"/>
    <w:embedRegular r:id="rId9" w:fontKey="{1F5E2A18-AA37-114A-BA1A-A88C0EF330D4}"/>
  </w:font>
  <w:font w:name="Calibri">
    <w:panose1 w:val="020F0502020204030204"/>
    <w:charset w:val="00"/>
    <w:family w:val="swiss"/>
    <w:pitch w:val="variable"/>
    <w:sig w:usb0="E0002AFF" w:usb1="C000247B" w:usb2="00000009" w:usb3="00000000" w:csb0="000001FF" w:csb1="00000000"/>
    <w:embedRegular r:id="rId10" w:fontKey="{C86FE315-D2C9-6546-BBE0-1AB1AC4B1697}"/>
    <w:embedBold r:id="rId11" w:fontKey="{4AB23D1A-AB83-634E-AA84-79DBF3762FA7}"/>
  </w:font>
  <w:font w:name="Cambria">
    <w:panose1 w:val="02040503050406030204"/>
    <w:charset w:val="00"/>
    <w:family w:val="roman"/>
    <w:pitch w:val="variable"/>
    <w:sig w:usb0="E00006FF" w:usb1="420024FF" w:usb2="02000000" w:usb3="00000000" w:csb0="0000019F" w:csb1="00000000"/>
    <w:embedRegular r:id="rId12" w:fontKey="{98454640-BAB0-C54D-A68E-E8A8A5116A6D}"/>
  </w:font>
  <w:font w:name="Franklin Gothic Book">
    <w:panose1 w:val="020B0503020102020204"/>
    <w:charset w:val="00"/>
    <w:family w:val="swiss"/>
    <w:pitch w:val="variable"/>
    <w:sig w:usb0="00000287" w:usb1="00000000" w:usb2="00000000" w:usb3="00000000" w:csb0="0000009F" w:csb1="00000000"/>
    <w:embedBold r:id="rId13" w:fontKey="{8A20B173-7AB6-8747-AC8D-7E621CC1A607}"/>
  </w:font>
  <w:font w:name="Noto Sans Symbols">
    <w:altName w:val="Calibri"/>
    <w:panose1 w:val="020B0604020202020204"/>
    <w:charset w:val="00"/>
    <w:family w:val="auto"/>
    <w:pitch w:val="default"/>
    <w:embedRegular r:id="rId14" w:fontKey="{D94B4952-86D0-2E45-A081-38F9B8418C4A}"/>
  </w:font>
  <w:font w:name="Courier New">
    <w:panose1 w:val="02070309020205020404"/>
    <w:charset w:val="00"/>
    <w:family w:val="modern"/>
    <w:pitch w:val="fixed"/>
    <w:sig w:usb0="E0002EFF" w:usb1="C0007843" w:usb2="00000009" w:usb3="00000000" w:csb0="000001FF" w:csb1="00000000"/>
    <w:embedRegular r:id="rId15" w:fontKey="{164DAA06-2397-4D43-B2EE-31867B46077E}"/>
  </w:font>
  <w:font w:name="Calibri Light">
    <w:panose1 w:val="020F0302020204030204"/>
    <w:charset w:val="00"/>
    <w:family w:val="swiss"/>
    <w:pitch w:val="variable"/>
    <w:sig w:usb0="E0002AFF" w:usb1="C000247B" w:usb2="00000009" w:usb3="00000000" w:csb0="000001FF" w:csb1="00000000"/>
    <w:embedRegular r:id="rId16" w:fontKey="{81D9D4D5-497D-6940-91C7-E68F3A742F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6561" w:rsidRDefault="00000000">
    <w:pPr>
      <w:jc w:val="right"/>
    </w:pPr>
    <w:r>
      <w:fldChar w:fldCharType="begin"/>
    </w:r>
    <w:r>
      <w:instrText>PAGE</w:instrText>
    </w:r>
    <w:r>
      <w:fldChar w:fldCharType="separate"/>
    </w:r>
    <w:r>
      <w:fldChar w:fldCharType="end"/>
    </w:r>
  </w:p>
  <w:p w:rsidR="00DF6561" w:rsidRDefault="00DF6561">
    <w:pPr>
      <w:ind w:right="360" w:firstLine="360"/>
    </w:pPr>
  </w:p>
  <w:p w:rsidR="00DF6561" w:rsidRDefault="00DF656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6561" w:rsidRDefault="00000000">
    <w:pPr>
      <w:ind w:right="360" w:firstLine="360"/>
    </w:pPr>
    <w:r>
      <w:rPr>
        <w:noProof/>
      </w:rPr>
      <w:drawing>
        <wp:anchor distT="0" distB="0" distL="114300" distR="114300" simplePos="0" relativeHeight="251658240" behindDoc="0" locked="0" layoutInCell="1" hidden="0" allowOverlap="1">
          <wp:simplePos x="0" y="0"/>
          <wp:positionH relativeFrom="column">
            <wp:posOffset>-98059</wp:posOffset>
          </wp:positionH>
          <wp:positionV relativeFrom="paragraph">
            <wp:posOffset>58419</wp:posOffset>
          </wp:positionV>
          <wp:extent cx="3164840" cy="822960"/>
          <wp:effectExtent l="0" t="0" r="0" b="0"/>
          <wp:wrapSquare wrapText="bothSides" distT="0" distB="0" distL="114300" distR="114300"/>
          <wp:docPr id="1903986548" name="image1.png" descr="HDRN Canada Logo"/>
          <wp:cNvGraphicFramePr/>
          <a:graphic xmlns:a="http://schemas.openxmlformats.org/drawingml/2006/main">
            <a:graphicData uri="http://schemas.openxmlformats.org/drawingml/2006/picture">
              <pic:pic xmlns:pic="http://schemas.openxmlformats.org/drawingml/2006/picture">
                <pic:nvPicPr>
                  <pic:cNvPr id="0" name="image1.png" descr="HDRN Canada Logo"/>
                  <pic:cNvPicPr preferRelativeResize="0"/>
                </pic:nvPicPr>
                <pic:blipFill>
                  <a:blip r:embed="rId1"/>
                  <a:srcRect l="5505" r="3236"/>
                  <a:stretch>
                    <a:fillRect/>
                  </a:stretch>
                </pic:blipFill>
                <pic:spPr>
                  <a:xfrm>
                    <a:off x="0" y="0"/>
                    <a:ext cx="3164840" cy="822960"/>
                  </a:xfrm>
                  <a:prstGeom prst="rect">
                    <a:avLst/>
                  </a:prstGeom>
                  <a:ln/>
                </pic:spPr>
              </pic:pic>
            </a:graphicData>
          </a:graphic>
        </wp:anchor>
      </w:drawing>
    </w:r>
  </w:p>
  <w:p w:rsidR="00DF6561" w:rsidRDefault="00000000">
    <w:pPr>
      <w:jc w:val="right"/>
    </w:pPr>
    <w:r>
      <w:fldChar w:fldCharType="begin"/>
    </w:r>
    <w:r>
      <w:instrText>PAGE</w:instrText>
    </w:r>
    <w:r>
      <w:fldChar w:fldCharType="separate"/>
    </w:r>
    <w:r w:rsidR="004C285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6561" w:rsidRDefault="00000000">
    <w:r>
      <w:rPr>
        <w:noProof/>
      </w:rPr>
      <mc:AlternateContent>
        <mc:Choice Requires="wpg">
          <w:drawing>
            <wp:anchor distT="0" distB="0" distL="0" distR="0" simplePos="0" relativeHeight="251659264" behindDoc="1" locked="0" layoutInCell="1" hidden="0" allowOverlap="1">
              <wp:simplePos x="0" y="0"/>
              <wp:positionH relativeFrom="column">
                <wp:posOffset>-2108199</wp:posOffset>
              </wp:positionH>
              <wp:positionV relativeFrom="paragraph">
                <wp:posOffset>-342899</wp:posOffset>
              </wp:positionV>
              <wp:extent cx="9334500" cy="3385185"/>
              <wp:effectExtent l="0" t="0" r="0" b="0"/>
              <wp:wrapNone/>
              <wp:docPr id="1903986546" name="Group 1903986546"/>
              <wp:cNvGraphicFramePr/>
              <a:graphic xmlns:a="http://schemas.openxmlformats.org/drawingml/2006/main">
                <a:graphicData uri="http://schemas.microsoft.com/office/word/2010/wordprocessingGroup">
                  <wpg:wgp>
                    <wpg:cNvGrpSpPr/>
                    <wpg:grpSpPr>
                      <a:xfrm>
                        <a:off x="0" y="0"/>
                        <a:ext cx="9334500" cy="3385185"/>
                        <a:chOff x="678750" y="2087400"/>
                        <a:chExt cx="9334500" cy="3385200"/>
                      </a:xfrm>
                    </wpg:grpSpPr>
                    <wpg:grpSp>
                      <wpg:cNvPr id="843009495" name="Group 843009495"/>
                      <wpg:cNvGrpSpPr/>
                      <wpg:grpSpPr>
                        <a:xfrm>
                          <a:off x="678750" y="2087408"/>
                          <a:ext cx="9334500" cy="3385185"/>
                          <a:chOff x="678750" y="2087400"/>
                          <a:chExt cx="9334500" cy="3385200"/>
                        </a:xfrm>
                      </wpg:grpSpPr>
                      <wps:wsp>
                        <wps:cNvPr id="1394146591" name="Rectangle 1394146591"/>
                        <wps:cNvSpPr/>
                        <wps:spPr>
                          <a:xfrm>
                            <a:off x="678750" y="2087400"/>
                            <a:ext cx="9334500" cy="3385200"/>
                          </a:xfrm>
                          <a:prstGeom prst="rect">
                            <a:avLst/>
                          </a:prstGeom>
                          <a:noFill/>
                          <a:ln>
                            <a:noFill/>
                          </a:ln>
                        </wps:spPr>
                        <wps:txbx>
                          <w:txbxContent>
                            <w:p w:rsidR="00DF6561" w:rsidRDefault="00DF6561">
                              <w:pPr>
                                <w:spacing w:after="0" w:line="240" w:lineRule="auto"/>
                                <w:textDirection w:val="btLr"/>
                              </w:pPr>
                            </w:p>
                          </w:txbxContent>
                        </wps:txbx>
                        <wps:bodyPr spcFirstLastPara="1" wrap="square" lIns="91425" tIns="91425" rIns="91425" bIns="91425" anchor="ctr" anchorCtr="0">
                          <a:noAutofit/>
                        </wps:bodyPr>
                      </wps:wsp>
                      <wpg:grpSp>
                        <wpg:cNvPr id="2134362098" name="Group 2134362098"/>
                        <wpg:cNvGrpSpPr/>
                        <wpg:grpSpPr>
                          <a:xfrm>
                            <a:off x="678750" y="2087408"/>
                            <a:ext cx="9334500" cy="3385185"/>
                            <a:chOff x="678750" y="2087400"/>
                            <a:chExt cx="9334500" cy="3385200"/>
                          </a:xfrm>
                        </wpg:grpSpPr>
                        <wps:wsp>
                          <wps:cNvPr id="591074" name="Rectangle 591074"/>
                          <wps:cNvSpPr/>
                          <wps:spPr>
                            <a:xfrm>
                              <a:off x="678750" y="2087400"/>
                              <a:ext cx="9334500" cy="3385200"/>
                            </a:xfrm>
                            <a:prstGeom prst="rect">
                              <a:avLst/>
                            </a:prstGeom>
                            <a:noFill/>
                            <a:ln>
                              <a:noFill/>
                            </a:ln>
                          </wps:spPr>
                          <wps:txbx>
                            <w:txbxContent>
                              <w:p w:rsidR="00DF6561" w:rsidRDefault="00DF6561">
                                <w:pPr>
                                  <w:spacing w:after="0" w:line="240" w:lineRule="auto"/>
                                  <w:textDirection w:val="btLr"/>
                                </w:pPr>
                              </w:p>
                            </w:txbxContent>
                          </wps:txbx>
                          <wps:bodyPr spcFirstLastPara="1" wrap="square" lIns="91425" tIns="91425" rIns="91425" bIns="91425" anchor="ctr" anchorCtr="0">
                            <a:noAutofit/>
                          </wps:bodyPr>
                        </wps:wsp>
                        <wpg:grpSp>
                          <wpg:cNvPr id="1244641810" name="Group 1244641810"/>
                          <wpg:cNvGrpSpPr/>
                          <wpg:grpSpPr>
                            <a:xfrm rot="10800000">
                              <a:off x="678750" y="2087408"/>
                              <a:ext cx="9334500" cy="3385185"/>
                              <a:chOff x="-7144" y="-7144"/>
                              <a:chExt cx="6005513" cy="1924050"/>
                            </a:xfrm>
                          </wpg:grpSpPr>
                          <wps:wsp>
                            <wps:cNvPr id="313279692" name="Rectangle 313279692"/>
                            <wps:cNvSpPr/>
                            <wps:spPr>
                              <a:xfrm>
                                <a:off x="-7144" y="-7144"/>
                                <a:ext cx="6005500" cy="1924050"/>
                              </a:xfrm>
                              <a:prstGeom prst="rect">
                                <a:avLst/>
                              </a:prstGeom>
                              <a:noFill/>
                              <a:ln>
                                <a:noFill/>
                              </a:ln>
                            </wps:spPr>
                            <wps:txbx>
                              <w:txbxContent>
                                <w:p w:rsidR="00DF6561" w:rsidRDefault="00DF6561">
                                  <w:pPr>
                                    <w:spacing w:after="0" w:line="240" w:lineRule="auto"/>
                                    <w:textDirection w:val="btLr"/>
                                  </w:pPr>
                                </w:p>
                              </w:txbxContent>
                            </wps:txbx>
                            <wps:bodyPr spcFirstLastPara="1" wrap="square" lIns="91425" tIns="91425" rIns="91425" bIns="91425" anchor="ctr" anchorCtr="0">
                              <a:noAutofit/>
                            </wps:bodyPr>
                          </wps:wsp>
                          <wps:wsp>
                            <wps:cNvPr id="1532029791" name="Freeform 1532029791"/>
                            <wps:cNvSpPr/>
                            <wps:spPr>
                              <a:xfrm>
                                <a:off x="2121694" y="-7144"/>
                                <a:ext cx="3876675" cy="1762125"/>
                              </a:xfrm>
                              <a:custGeom>
                                <a:avLst/>
                                <a:gdLst/>
                                <a:ahLst/>
                                <a:cxnLst/>
                                <a:rect l="l" t="t" r="r" b="b"/>
                                <a:pathLst>
                                  <a:path w="3876675" h="1762125" extrusionOk="0">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gradFill>
                                <a:gsLst>
                                  <a:gs pos="0">
                                    <a:srgbClr val="00404A"/>
                                  </a:gs>
                                  <a:gs pos="50000">
                                    <a:srgbClr val="005D6B"/>
                                  </a:gs>
                                  <a:gs pos="100000">
                                    <a:srgbClr val="007081"/>
                                  </a:gs>
                                </a:gsLst>
                                <a:lin ang="8100000" scaled="0"/>
                              </a:gradFill>
                              <a:ln>
                                <a:noFill/>
                              </a:ln>
                            </wps:spPr>
                            <wps:txbx>
                              <w:txbxContent>
                                <w:p w:rsidR="00DF6561" w:rsidRDefault="00DF6561">
                                  <w:pPr>
                                    <w:spacing w:after="0" w:line="240" w:lineRule="auto"/>
                                    <w:textDirection w:val="btLr"/>
                                  </w:pPr>
                                </w:p>
                              </w:txbxContent>
                            </wps:txbx>
                            <wps:bodyPr spcFirstLastPara="1" wrap="square" lIns="91425" tIns="91425" rIns="91425" bIns="91425" anchor="ctr" anchorCtr="0">
                              <a:noAutofit/>
                            </wps:bodyPr>
                          </wps:wsp>
                          <wps:wsp>
                            <wps:cNvPr id="1898894096" name="Freeform 1898894096"/>
                            <wps:cNvSpPr/>
                            <wps:spPr>
                              <a:xfrm>
                                <a:off x="-7144" y="-7144"/>
                                <a:ext cx="6000750" cy="1924050"/>
                              </a:xfrm>
                              <a:custGeom>
                                <a:avLst/>
                                <a:gdLst/>
                                <a:ahLst/>
                                <a:cxnLst/>
                                <a:rect l="l" t="t" r="r" b="b"/>
                                <a:pathLst>
                                  <a:path w="6000750" h="1924050" extrusionOk="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gradFill>
                                <a:gsLst>
                                  <a:gs pos="0">
                                    <a:srgbClr val="092442"/>
                                  </a:gs>
                                  <a:gs pos="50000">
                                    <a:srgbClr val="0D3460"/>
                                  </a:gs>
                                  <a:gs pos="100000">
                                    <a:srgbClr val="103F73"/>
                                  </a:gs>
                                </a:gsLst>
                                <a:lin ang="16200000" scaled="0"/>
                              </a:gradFill>
                              <a:ln>
                                <a:noFill/>
                              </a:ln>
                            </wps:spPr>
                            <wps:txbx>
                              <w:txbxContent>
                                <w:p w:rsidR="00DF6561" w:rsidRDefault="00DF6561">
                                  <w:pPr>
                                    <w:spacing w:after="0" w:line="240" w:lineRule="auto"/>
                                    <w:textDirection w:val="btLr"/>
                                  </w:pPr>
                                </w:p>
                              </w:txbxContent>
                            </wps:txbx>
                            <wps:bodyPr spcFirstLastPara="1" wrap="square" lIns="91425" tIns="91425" rIns="91425" bIns="91425" anchor="ctr" anchorCtr="0">
                              <a:noAutofit/>
                            </wps:bodyPr>
                          </wps:wsp>
                          <wps:wsp>
                            <wps:cNvPr id="82978635" name="Freeform 82978635"/>
                            <wps:cNvSpPr/>
                            <wps:spPr>
                              <a:xfrm>
                                <a:off x="-7144" y="-7144"/>
                                <a:ext cx="6000750" cy="904875"/>
                              </a:xfrm>
                              <a:custGeom>
                                <a:avLst/>
                                <a:gdLst/>
                                <a:ahLst/>
                                <a:cxnLst/>
                                <a:rect l="l" t="t" r="r" b="b"/>
                                <a:pathLst>
                                  <a:path w="6000750" h="904875" extrusionOk="0">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solidFill>
                                <a:srgbClr val="00274A"/>
                              </a:solidFill>
                              <a:ln>
                                <a:noFill/>
                              </a:ln>
                            </wps:spPr>
                            <wps:txbx>
                              <w:txbxContent>
                                <w:p w:rsidR="00DF6561" w:rsidRDefault="00DF6561">
                                  <w:pPr>
                                    <w:spacing w:after="0" w:line="240" w:lineRule="auto"/>
                                    <w:textDirection w:val="btLr"/>
                                  </w:pPr>
                                </w:p>
                              </w:txbxContent>
                            </wps:txbx>
                            <wps:bodyPr spcFirstLastPara="1" wrap="square" lIns="91425" tIns="91425" rIns="91425" bIns="91425" anchor="ctr" anchorCtr="0">
                              <a:noAutofit/>
                            </wps:bodyPr>
                          </wps:wsp>
                          <wps:wsp>
                            <wps:cNvPr id="1606726840" name="Freeform 1606726840"/>
                            <wps:cNvSpPr/>
                            <wps:spPr>
                              <a:xfrm>
                                <a:off x="3176111" y="924401"/>
                                <a:ext cx="2819400" cy="828675"/>
                              </a:xfrm>
                              <a:custGeom>
                                <a:avLst/>
                                <a:gdLst/>
                                <a:ahLst/>
                                <a:cxnLst/>
                                <a:rect l="l" t="t" r="r" b="b"/>
                                <a:pathLst>
                                  <a:path w="2819400" h="828675" extrusionOk="0">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solidFill>
                                <a:srgbClr val="006A78"/>
                              </a:solidFill>
                              <a:ln>
                                <a:noFill/>
                              </a:ln>
                            </wps:spPr>
                            <wps:txbx>
                              <w:txbxContent>
                                <w:p w:rsidR="00DF6561" w:rsidRDefault="00DF6561">
                                  <w:pPr>
                                    <w:spacing w:after="0" w:line="240" w:lineRule="auto"/>
                                    <w:textDirection w:val="btLr"/>
                                  </w:pPr>
                                </w:p>
                              </w:txbxContent>
                            </wps:txbx>
                            <wps:bodyPr spcFirstLastPara="1" wrap="square" lIns="91425" tIns="91425" rIns="91425" bIns="91425" anchor="ctr" anchorCtr="0">
                              <a:noAutofit/>
                            </wps:bodyPr>
                          </wps:wsp>
                        </wpg:grpSp>
                      </wpg:grpSp>
                    </wpg:grpSp>
                  </wpg:wgp>
                </a:graphicData>
              </a:graphic>
            </wp:anchor>
          </w:drawing>
        </mc:Choice>
        <mc:Fallback>
          <w:pict>
            <v:group id="Group 1903986546" o:spid="_x0000_s1026" style="position:absolute;margin-left:-166pt;margin-top:-27pt;width:735pt;height:266.55pt;z-index:-251657216;mso-wrap-distance-left:0;mso-wrap-distance-right:0" coordorigin="6787,20874" coordsize="93345,338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">
              <v:group id="Group 843009495" o:spid="_x0000_s1027" style="position:absolute;left:6787;top:20874;width:93345;height:33851" coordorigin="6787,20874" coordsize="93345,338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">
                <v:rect id="Rectangle 1394146591" o:spid="_x0000_s1028" style="position:absolute;left:6787;top:20874;width:93345;height:338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" filled="f" stroked="f">
                  <v:textbox inset="2.53958mm,2.53958mm,2.53958mm,2.53958mm">
                    <w:txbxContent>
                      <w:p w:rsidR="00DF6561" w:rsidRDefault="00DF6561">
                        <w:pPr>
                          <w:spacing w:after="0" w:line="240" w:lineRule="auto"/>
                          <w:textDirection w:val="btLr"/>
                        </w:pPr>
                      </w:p>
                    </w:txbxContent>
                  </v:textbox>
                </v:rect>
                <v:group id="Group 2134362098" o:spid="_x0000_s1029" style="position:absolute;left:6787;top:20874;width:93345;height:33851" coordorigin="6787,20874" coordsize="93345,338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">
                  <v:rect id="Rectangle 591074" o:spid="_x0000_s1030" style="position:absolute;left:6787;top:20874;width:93345;height:338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" filled="f" stroked="f">
                    <v:textbox inset="2.53958mm,2.53958mm,2.53958mm,2.53958mm">
                      <w:txbxContent>
                        <w:p w:rsidR="00DF6561" w:rsidRDefault="00DF6561">
                          <w:pPr>
                            <w:spacing w:after="0" w:line="240" w:lineRule="auto"/>
                            <w:textDirection w:val="btLr"/>
                          </w:pPr>
                        </w:p>
                      </w:txbxContent>
                    </v:textbox>
                  </v:rect>
                  <v:group id="Group 1244641810" o:spid="_x0000_s1031" style="position:absolute;left:6787;top:20874;width:93345;height:33851;rotation:180" coordorigin="-71,-71" coordsize="60055,19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">
                    <v:rect id="Rectangle 313279692" o:spid="_x0000_s1032" style="position:absolute;left:-71;top:-71;width:60054;height:192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" filled="f" stroked="f">
                      <v:textbox inset="2.53958mm,2.53958mm,2.53958mm,2.53958mm">
                        <w:txbxContent>
                          <w:p w:rsidR="00DF6561" w:rsidRDefault="00DF6561">
                            <w:pPr>
                              <w:spacing w:after="0" w:line="240" w:lineRule="auto"/>
                              <w:textDirection w:val="btLr"/>
                            </w:pPr>
                          </w:p>
                        </w:txbxContent>
                      </v:textbox>
                    </v:rect>
                    <v:shape id="Freeform 1532029791" o:spid="_x0000_s1033" style="position:absolute;left:21216;top:-71;width:38767;height:17620;visibility:visible;mso-wrap-style:square;v-text-anchor:middle" coordsize="3876675,1762125"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" adj="-11796480,,5400" path="m3869531,1359694v,,-489585,474345,-1509712,384810c1339691,1654969,936784,1180624,7144,1287304l7144,7144r3862387,l3869531,1359694xe" fillcolor="#00404a" stroked="f">
                      <v:fill color2="#007081" angle="315" colors="0 #00404a;.5 #005d6b;1 #007081" focus="100%" type="gradient">
                        <o:fill v:ext="view" type="gradientUnscaled"/>
                      </v:fill>
                      <v:stroke joinstyle="miter"/>
                      <v:formulas/>
                      <v:path arrowok="t" o:extrusionok="f" o:connecttype="custom" textboxrect="0,0,3876675,1762125"/>
                      <v:textbox inset="2.53958mm,2.53958mm,2.53958mm,2.53958mm">
                        <w:txbxContent>
                          <w:p w:rsidR="00DF6561" w:rsidRDefault="00DF6561">
                            <w:pPr>
                              <w:spacing w:after="0" w:line="240" w:lineRule="auto"/>
                              <w:textDirection w:val="btLr"/>
                            </w:pPr>
                          </w:p>
                        </w:txbxContent>
                      </v:textbox>
                    </v:shape>
                    <v:shape id="Freeform 1898894096" o:spid="_x0000_s1034" style="position:absolute;left:-71;top:-71;width:60007;height:19240;visibility:visible;mso-wrap-style:square;v-text-anchor:middle" coordsize="6000750,192405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" adj="-11796480,,5400" path="m7144,1699736v,,1403032,618173,2927032,-215265c4459129,651986,5998369,893921,5998369,893921r,-886777l7144,7144r,1692592xe" fillcolor="#092442" stroked="f">
                      <v:fill color2="#103f73" angle="180" colors="0 #092442;.5 #0d3460;1 #103f73" focus="100%" type="gradient">
                        <o:fill v:ext="view" type="gradientUnscaled"/>
                      </v:fill>
                      <v:stroke joinstyle="miter"/>
                      <v:formulas/>
                      <v:path arrowok="t" o:extrusionok="f" o:connecttype="custom" textboxrect="0,0,6000750,1924050"/>
                      <v:textbox inset="2.53958mm,2.53958mm,2.53958mm,2.53958mm">
                        <w:txbxContent>
                          <w:p w:rsidR="00DF6561" w:rsidRDefault="00DF6561">
                            <w:pPr>
                              <w:spacing w:after="0" w:line="240" w:lineRule="auto"/>
                              <w:textDirection w:val="btLr"/>
                            </w:pPr>
                          </w:p>
                        </w:txbxContent>
                      </v:textbox>
                    </v:shape>
                    <v:shape id="Freeform 82978635" o:spid="_x0000_s1035" style="position:absolute;left:-71;top:-71;width:60007;height:9048;visibility:visible;mso-wrap-style:square;v-text-anchor:middle" coordsize="6000750,904875"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" adj="-11796480,,5400" path="m7144,7144r,606742c647224,1034891,2136934,964406,3546634,574834,4882039,205264,5998369,893921,5998369,893921r,-886777l7144,7144xe" fillcolor="#00274a" stroked="f">
                      <v:stroke joinstyle="miter"/>
                      <v:formulas/>
                      <v:path arrowok="t" o:extrusionok="f" o:connecttype="custom" textboxrect="0,0,6000750,904875"/>
                      <v:textbox inset="2.53958mm,2.53958mm,2.53958mm,2.53958mm">
                        <w:txbxContent>
                          <w:p w:rsidR="00DF6561" w:rsidRDefault="00DF6561">
                            <w:pPr>
                              <w:spacing w:after="0" w:line="240" w:lineRule="auto"/>
                              <w:textDirection w:val="btLr"/>
                            </w:pPr>
                          </w:p>
                        </w:txbxContent>
                      </v:textbox>
                    </v:shape>
                    <v:shape id="Freeform 1606726840" o:spid="_x0000_s1036" style="position:absolute;left:31761;top:9244;width:28194;height:8286;visibility:visible;mso-wrap-style:square;v-text-anchor:middle" coordsize="2819400,828675"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" adj="-11796480,,5400" path="m7144,481489c380524,602456,751999,764381,1305401,812959,2325529,902494,2815114,428149,2815114,428149r,-421005c2332196,236696,1376839,568166,7144,481489xe" fillcolor="#006a78" stroked="f">
                      <v:stroke joinstyle="miter"/>
                      <v:formulas/>
                      <v:path arrowok="t" o:extrusionok="f" o:connecttype="custom" textboxrect="0,0,2819400,828675"/>
                      <v:textbox inset="2.53958mm,2.53958mm,2.53958mm,2.53958mm">
                        <w:txbxContent>
                          <w:p w:rsidR="00DF6561" w:rsidRDefault="00DF6561">
                            <w:pPr>
                              <w:spacing w:after="0" w:line="240" w:lineRule="auto"/>
                              <w:textDirection w:val="btLr"/>
                            </w:pPr>
                          </w:p>
                        </w:txbxContent>
                      </v:textbox>
                    </v:shape>
                  </v:group>
                </v:group>
              </v:group>
            </v:group>
          </w:pict>
        </mc:Fallback>
      </mc:AlternateContent>
    </w:r>
  </w:p>
  <w:p w:rsidR="00DF6561" w:rsidRDefault="00000000">
    <w:r>
      <w:rPr>
        <w:noProof/>
      </w:rPr>
      <w:drawing>
        <wp:anchor distT="0" distB="0" distL="114300" distR="114300" simplePos="0" relativeHeight="251660288" behindDoc="0" locked="0" layoutInCell="1" hidden="0" allowOverlap="1">
          <wp:simplePos x="0" y="0"/>
          <wp:positionH relativeFrom="column">
            <wp:posOffset>3164840</wp:posOffset>
          </wp:positionH>
          <wp:positionV relativeFrom="paragraph">
            <wp:posOffset>26669</wp:posOffset>
          </wp:positionV>
          <wp:extent cx="3515995" cy="895985"/>
          <wp:effectExtent l="0" t="0" r="0" b="0"/>
          <wp:wrapNone/>
          <wp:docPr id="1903986549" name="image3.png" descr="HDRN Canada Logo"/>
          <wp:cNvGraphicFramePr/>
          <a:graphic xmlns:a="http://schemas.openxmlformats.org/drawingml/2006/main">
            <a:graphicData uri="http://schemas.openxmlformats.org/drawingml/2006/picture">
              <pic:pic xmlns:pic="http://schemas.openxmlformats.org/drawingml/2006/picture">
                <pic:nvPicPr>
                  <pic:cNvPr id="0" name="image3.png" descr="HDRN Canada Logo"/>
                  <pic:cNvPicPr preferRelativeResize="0"/>
                </pic:nvPicPr>
                <pic:blipFill>
                  <a:blip r:embed="rId1"/>
                  <a:srcRect l="3374" r="3638"/>
                  <a:stretch>
                    <a:fillRect/>
                  </a:stretch>
                </pic:blipFill>
                <pic:spPr>
                  <a:xfrm>
                    <a:off x="0" y="0"/>
                    <a:ext cx="3515995" cy="89598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7C70" w:rsidRDefault="00437C70">
      <w:pPr>
        <w:spacing w:after="0" w:line="240" w:lineRule="auto"/>
      </w:pPr>
      <w:r>
        <w:separator/>
      </w:r>
    </w:p>
  </w:footnote>
  <w:footnote w:type="continuationSeparator" w:id="0">
    <w:p w:rsidR="00437C70" w:rsidRDefault="00437C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106B6"/>
    <w:multiLevelType w:val="multilevel"/>
    <w:tmpl w:val="62A6FC54"/>
    <w:lvl w:ilvl="0">
      <w:start w:val="1"/>
      <w:numFmt w:val="bullet"/>
      <w:lvlText w:val="●"/>
      <w:lvlJc w:val="left"/>
      <w:pPr>
        <w:ind w:left="361" w:hanging="361"/>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9A0D87"/>
    <w:multiLevelType w:val="multilevel"/>
    <w:tmpl w:val="36549B4E"/>
    <w:lvl w:ilvl="0">
      <w:start w:val="1"/>
      <w:numFmt w:val="decimal"/>
      <w:pStyle w:val="BulletPoin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4E44620"/>
    <w:multiLevelType w:val="multilevel"/>
    <w:tmpl w:val="F1480CCA"/>
    <w:lvl w:ilvl="0">
      <w:start w:val="1"/>
      <w:numFmt w:val="bullet"/>
      <w:lvlText w:val="●"/>
      <w:lvlJc w:val="left"/>
      <w:pPr>
        <w:ind w:left="361" w:hanging="361"/>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BF0254E"/>
    <w:multiLevelType w:val="multilevel"/>
    <w:tmpl w:val="B986CFAC"/>
    <w:lvl w:ilvl="0">
      <w:start w:val="1"/>
      <w:numFmt w:val="bullet"/>
      <w:lvlText w:val="●"/>
      <w:lvlJc w:val="left"/>
      <w:pPr>
        <w:ind w:left="361" w:hanging="361"/>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C234113"/>
    <w:multiLevelType w:val="multilevel"/>
    <w:tmpl w:val="5524A49C"/>
    <w:lvl w:ilvl="0">
      <w:start w:val="1"/>
      <w:numFmt w:val="bullet"/>
      <w:lvlText w:val="●"/>
      <w:lvlJc w:val="left"/>
      <w:pPr>
        <w:ind w:left="361" w:hanging="361"/>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C67018"/>
    <w:multiLevelType w:val="multilevel"/>
    <w:tmpl w:val="0DF4961E"/>
    <w:lvl w:ilvl="0">
      <w:start w:val="1"/>
      <w:numFmt w:val="bullet"/>
      <w:lvlText w:val="●"/>
      <w:lvlJc w:val="left"/>
      <w:pPr>
        <w:ind w:left="361" w:hanging="361"/>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307319750">
    <w:abstractNumId w:val="0"/>
  </w:num>
  <w:num w:numId="2" w16cid:durableId="1710570626">
    <w:abstractNumId w:val="4"/>
  </w:num>
  <w:num w:numId="3" w16cid:durableId="26102178">
    <w:abstractNumId w:val="5"/>
  </w:num>
  <w:num w:numId="4" w16cid:durableId="1445727949">
    <w:abstractNumId w:val="3"/>
  </w:num>
  <w:num w:numId="5" w16cid:durableId="371657675">
    <w:abstractNumId w:val="2"/>
  </w:num>
  <w:num w:numId="6" w16cid:durableId="1456676424">
    <w:abstractNumId w:val="1"/>
  </w:num>
  <w:num w:numId="7" w16cid:durableId="19774852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382695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6071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561"/>
    <w:rsid w:val="003B1044"/>
    <w:rsid w:val="00437C70"/>
    <w:rsid w:val="004C2851"/>
    <w:rsid w:val="008E7070"/>
    <w:rsid w:val="009B1DB9"/>
    <w:rsid w:val="00DF656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docId w15:val="{C1456E2A-3F3A-C347-B0A6-7538C848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after="120" w:line="276" w:lineRule="auto"/>
      <w:outlineLvl w:val="0"/>
    </w:pPr>
    <w:rPr>
      <w:rFonts w:ascii="Lato" w:eastAsia="Lato" w:hAnsi="Lato" w:cs="Lato"/>
      <w:b/>
      <w:color w:val="006A78"/>
      <w:sz w:val="36"/>
      <w:szCs w:val="36"/>
    </w:rPr>
  </w:style>
  <w:style w:type="paragraph" w:styleId="Heading2">
    <w:name w:val="heading 2"/>
    <w:basedOn w:val="Normal"/>
    <w:next w:val="Normal"/>
    <w:link w:val="Heading2Char"/>
    <w:uiPriority w:val="9"/>
    <w:unhideWhenUsed/>
    <w:qFormat/>
    <w:pPr>
      <w:keepNext/>
      <w:keepLines/>
      <w:tabs>
        <w:tab w:val="left" w:pos="461"/>
      </w:tabs>
      <w:spacing w:after="120" w:line="276" w:lineRule="auto"/>
      <w:outlineLvl w:val="1"/>
    </w:pPr>
    <w:rPr>
      <w:rFonts w:ascii="Lato" w:eastAsia="Lato" w:hAnsi="Lato" w:cs="Lato"/>
      <w:b/>
      <w:color w:val="002649"/>
      <w:sz w:val="28"/>
      <w:szCs w:val="28"/>
    </w:rPr>
  </w:style>
  <w:style w:type="paragraph" w:styleId="Heading3">
    <w:name w:val="heading 3"/>
    <w:basedOn w:val="Normal"/>
    <w:next w:val="Normal"/>
    <w:link w:val="Heading3Char"/>
    <w:uiPriority w:val="9"/>
    <w:semiHidden/>
    <w:unhideWhenUsed/>
    <w:qFormat/>
    <w:pPr>
      <w:keepNext/>
      <w:keepLines/>
      <w:tabs>
        <w:tab w:val="left" w:pos="461"/>
      </w:tabs>
      <w:spacing w:after="120" w:line="276" w:lineRule="auto"/>
      <w:outlineLvl w:val="2"/>
    </w:pPr>
    <w:rPr>
      <w:rFonts w:ascii="Lato" w:eastAsia="Lato" w:hAnsi="Lato" w:cs="Lato"/>
      <w:color w:val="006A78"/>
      <w:sz w:val="28"/>
      <w:szCs w:val="28"/>
    </w:rPr>
  </w:style>
  <w:style w:type="paragraph" w:styleId="Heading4">
    <w:name w:val="heading 4"/>
    <w:basedOn w:val="Normal"/>
    <w:next w:val="Normal"/>
    <w:link w:val="Heading4Char"/>
    <w:uiPriority w:val="9"/>
    <w:semiHidden/>
    <w:unhideWhenUsed/>
    <w:qFormat/>
    <w:pPr>
      <w:outlineLvl w:val="3"/>
    </w:pPr>
    <w:rPr>
      <w:i/>
    </w:rPr>
  </w:style>
  <w:style w:type="paragraph" w:styleId="Heading5">
    <w:name w:val="heading 5"/>
    <w:basedOn w:val="Normal"/>
    <w:next w:val="Normal"/>
    <w:link w:val="Heading5Char"/>
    <w:uiPriority w:val="9"/>
    <w:semiHidden/>
    <w:unhideWhenUsed/>
    <w:qFormat/>
    <w:pPr>
      <w:ind w:left="360"/>
      <w:outlineLvl w:val="4"/>
    </w:pPr>
    <w:rPr>
      <w:i/>
      <w:color w:val="006A78"/>
    </w:rPr>
  </w:style>
  <w:style w:type="paragraph" w:styleId="Heading6">
    <w:name w:val="heading 6"/>
    <w:basedOn w:val="Normal"/>
    <w:next w:val="Normal"/>
    <w:link w:val="Heading6Char"/>
    <w:uiPriority w:val="9"/>
    <w:semiHidden/>
    <w:unhideWhenUsed/>
    <w:qFormat/>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0" w:line="240" w:lineRule="auto"/>
    </w:pPr>
    <w:rPr>
      <w:rFonts w:ascii="Lato" w:eastAsia="Lato" w:hAnsi="Lato" w:cs="Lato"/>
      <w:b/>
      <w:color w:val="002649"/>
      <w:sz w:val="44"/>
      <w:szCs w:val="44"/>
    </w:rPr>
  </w:style>
  <w:style w:type="table" w:customStyle="1" w:styleId="TableNormal1">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153B21"/>
    <w:rPr>
      <w:rFonts w:ascii="Lato" w:eastAsia="Arial" w:hAnsi="Lato" w:cs="Arial"/>
      <w:b/>
      <w:color w:val="006A78"/>
      <w:kern w:val="0"/>
      <w:sz w:val="36"/>
      <w:szCs w:val="40"/>
      <w:lang w:val="en"/>
    </w:rPr>
  </w:style>
  <w:style w:type="paragraph" w:styleId="PlainText">
    <w:name w:val="Plain Text"/>
    <w:basedOn w:val="Normal"/>
    <w:link w:val="PlainTextChar"/>
    <w:uiPriority w:val="99"/>
    <w:semiHidden/>
    <w:unhideWhenUsed/>
    <w:rsid w:val="008E17D2"/>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8E17D2"/>
    <w:rPr>
      <w:rFonts w:ascii="Consolas" w:eastAsia="Arial" w:hAnsi="Consolas" w:cs="Consolas"/>
      <w:kern w:val="0"/>
      <w:sz w:val="21"/>
      <w:szCs w:val="21"/>
      <w:lang w:val="en"/>
    </w:rPr>
  </w:style>
  <w:style w:type="character" w:customStyle="1" w:styleId="Heading2Char">
    <w:name w:val="Heading 2 Char"/>
    <w:basedOn w:val="DefaultParagraphFont"/>
    <w:link w:val="Heading2"/>
    <w:uiPriority w:val="9"/>
    <w:rsid w:val="00004241"/>
    <w:rPr>
      <w:rFonts w:ascii="Lato" w:eastAsia="Arial" w:hAnsi="Lato" w:cstheme="minorHAnsi"/>
      <w:b/>
      <w:color w:val="002649"/>
      <w:spacing w:val="-1"/>
      <w:kern w:val="0"/>
      <w:sz w:val="28"/>
      <w:szCs w:val="32"/>
      <w:lang w:val="en"/>
    </w:rPr>
  </w:style>
  <w:style w:type="paragraph" w:styleId="NoSpacing">
    <w:name w:val="No Spacing"/>
    <w:uiPriority w:val="1"/>
    <w:rsid w:val="00563957"/>
    <w:rPr>
      <w:szCs w:val="22"/>
      <w:lang w:val="en-US"/>
    </w:rPr>
  </w:style>
  <w:style w:type="paragraph" w:customStyle="1" w:styleId="ItalicisedText">
    <w:name w:val="Italicised Text"/>
    <w:basedOn w:val="BodyText"/>
    <w:qFormat/>
    <w:rsid w:val="00563957"/>
    <w:rPr>
      <w:i/>
    </w:rPr>
  </w:style>
  <w:style w:type="paragraph" w:customStyle="1" w:styleId="BulletPoints">
    <w:name w:val="Bullet Points"/>
    <w:basedOn w:val="ListBullet"/>
    <w:qFormat/>
    <w:rsid w:val="000F3400"/>
    <w:pPr>
      <w:numPr>
        <w:numId w:val="6"/>
      </w:numPr>
    </w:pPr>
  </w:style>
  <w:style w:type="paragraph" w:styleId="BodyText">
    <w:name w:val="Body Text"/>
    <w:basedOn w:val="Normal"/>
    <w:link w:val="BodyTextChar"/>
    <w:uiPriority w:val="1"/>
    <w:semiHidden/>
    <w:unhideWhenUsed/>
    <w:qFormat/>
    <w:rsid w:val="00563957"/>
    <w:pPr>
      <w:spacing w:after="120"/>
    </w:pPr>
  </w:style>
  <w:style w:type="character" w:customStyle="1" w:styleId="BodyTextChar">
    <w:name w:val="Body Text Char"/>
    <w:basedOn w:val="DefaultParagraphFont"/>
    <w:link w:val="BodyText"/>
    <w:uiPriority w:val="1"/>
    <w:semiHidden/>
    <w:rsid w:val="00563957"/>
    <w:rPr>
      <w:rFonts w:ascii="Arial" w:hAnsi="Arial"/>
      <w:kern w:val="0"/>
      <w:szCs w:val="22"/>
      <w:lang w:val="en-US"/>
    </w:rPr>
  </w:style>
  <w:style w:type="table" w:styleId="TableGrid">
    <w:name w:val="Table Grid"/>
    <w:basedOn w:val="TableNormal"/>
    <w:uiPriority w:val="39"/>
    <w:rsid w:val="0084591A"/>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563957"/>
    <w:pPr>
      <w:ind w:left="720"/>
      <w:contextualSpacing/>
    </w:pPr>
  </w:style>
  <w:style w:type="paragraph" w:styleId="FootnoteText">
    <w:name w:val="footnote text"/>
    <w:basedOn w:val="Normal"/>
    <w:link w:val="FootnoteTextChar"/>
    <w:uiPriority w:val="99"/>
    <w:semiHidden/>
    <w:unhideWhenUsed/>
    <w:rsid w:val="008459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591A"/>
    <w:rPr>
      <w:kern w:val="0"/>
      <w:sz w:val="20"/>
      <w:szCs w:val="20"/>
      <w:lang w:val="en-US"/>
    </w:rPr>
  </w:style>
  <w:style w:type="character" w:styleId="FootnoteReference">
    <w:name w:val="footnote reference"/>
    <w:basedOn w:val="DefaultParagraphFont"/>
    <w:uiPriority w:val="99"/>
    <w:semiHidden/>
    <w:unhideWhenUsed/>
    <w:rsid w:val="0084591A"/>
    <w:rPr>
      <w:vertAlign w:val="superscript"/>
    </w:rPr>
  </w:style>
  <w:style w:type="paragraph" w:customStyle="1" w:styleId="QuoteCallout">
    <w:name w:val="Quote Callout"/>
    <w:basedOn w:val="Normal"/>
    <w:qFormat/>
    <w:rsid w:val="00563957"/>
    <w:rPr>
      <w:i/>
      <w:iCs/>
      <w:color w:val="006A78"/>
      <w:lang w:val="en-CA"/>
    </w:rPr>
  </w:style>
  <w:style w:type="paragraph" w:customStyle="1" w:styleId="NumberedList">
    <w:name w:val="Numbered List"/>
    <w:basedOn w:val="ListParagraph"/>
    <w:qFormat/>
    <w:rsid w:val="00563957"/>
    <w:pPr>
      <w:tabs>
        <w:tab w:val="num" w:pos="720"/>
      </w:tabs>
      <w:ind w:hanging="720"/>
    </w:pPr>
  </w:style>
  <w:style w:type="character" w:customStyle="1" w:styleId="TitleChar">
    <w:name w:val="Title Char"/>
    <w:basedOn w:val="DefaultParagraphFont"/>
    <w:link w:val="Title"/>
    <w:uiPriority w:val="10"/>
    <w:rsid w:val="00563957"/>
    <w:rPr>
      <w:rFonts w:ascii="Lato" w:eastAsiaTheme="majorEastAsia" w:hAnsi="Lato" w:cstheme="majorBidi"/>
      <w:b/>
      <w:color w:val="002649"/>
      <w:spacing w:val="-10"/>
      <w:kern w:val="28"/>
      <w:sz w:val="44"/>
      <w:szCs w:val="56"/>
      <w:lang w:val="en-US"/>
    </w:rPr>
  </w:style>
  <w:style w:type="character" w:styleId="FollowedHyperlink">
    <w:name w:val="FollowedHyperlink"/>
    <w:basedOn w:val="DefaultParagraphFont"/>
    <w:uiPriority w:val="99"/>
    <w:semiHidden/>
    <w:unhideWhenUsed/>
    <w:rsid w:val="0081034D"/>
    <w:rPr>
      <w:color w:val="954F72" w:themeColor="followedHyperlink"/>
      <w:u w:val="single"/>
    </w:rPr>
  </w:style>
  <w:style w:type="character" w:styleId="PageNumber">
    <w:name w:val="page number"/>
    <w:basedOn w:val="DefaultParagraphFont"/>
    <w:uiPriority w:val="99"/>
    <w:semiHidden/>
    <w:unhideWhenUsed/>
    <w:rsid w:val="0081034D"/>
  </w:style>
  <w:style w:type="paragraph" w:styleId="TOC1">
    <w:name w:val="toc 1"/>
    <w:basedOn w:val="Normal"/>
    <w:next w:val="Normal"/>
    <w:autoRedefine/>
    <w:uiPriority w:val="39"/>
    <w:unhideWhenUsed/>
    <w:rsid w:val="00A84922"/>
    <w:pPr>
      <w:tabs>
        <w:tab w:val="right" w:leader="dot" w:pos="10070"/>
      </w:tabs>
      <w:spacing w:after="100"/>
    </w:pPr>
    <w:rPr>
      <w:b/>
      <w:bCs/>
      <w:noProof/>
    </w:rPr>
  </w:style>
  <w:style w:type="paragraph" w:styleId="TOC2">
    <w:name w:val="toc 2"/>
    <w:basedOn w:val="Normal"/>
    <w:next w:val="Normal"/>
    <w:autoRedefine/>
    <w:uiPriority w:val="39"/>
    <w:unhideWhenUsed/>
    <w:rsid w:val="00563957"/>
    <w:pPr>
      <w:spacing w:after="100"/>
      <w:ind w:left="240"/>
    </w:pPr>
  </w:style>
  <w:style w:type="paragraph" w:styleId="TOC3">
    <w:name w:val="toc 3"/>
    <w:basedOn w:val="Normal"/>
    <w:next w:val="Normal"/>
    <w:autoRedefine/>
    <w:uiPriority w:val="39"/>
    <w:unhideWhenUsed/>
    <w:rsid w:val="00563957"/>
    <w:pPr>
      <w:spacing w:after="100"/>
      <w:ind w:left="480"/>
    </w:pPr>
  </w:style>
  <w:style w:type="character" w:styleId="Hyperlink">
    <w:name w:val="Hyperlink"/>
    <w:basedOn w:val="DefaultParagraphFont"/>
    <w:uiPriority w:val="99"/>
    <w:unhideWhenUsed/>
    <w:rsid w:val="00563957"/>
    <w:rPr>
      <w:color w:val="0563C1" w:themeColor="hyperlink"/>
      <w:u w:val="single"/>
    </w:rPr>
  </w:style>
  <w:style w:type="paragraph" w:styleId="TOC4">
    <w:name w:val="toc 4"/>
    <w:basedOn w:val="Normal"/>
    <w:next w:val="Normal"/>
    <w:autoRedefine/>
    <w:uiPriority w:val="39"/>
    <w:semiHidden/>
    <w:unhideWhenUsed/>
    <w:rsid w:val="00BF6CD5"/>
    <w:pPr>
      <w:spacing w:after="0"/>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BF6CD5"/>
    <w:pPr>
      <w:spacing w:after="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BF6CD5"/>
    <w:pPr>
      <w:spacing w:after="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BF6CD5"/>
    <w:pPr>
      <w:spacing w:after="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BF6CD5"/>
    <w:pPr>
      <w:spacing w:after="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BF6CD5"/>
    <w:pPr>
      <w:spacing w:after="0"/>
      <w:ind w:left="1760"/>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CE4238"/>
    <w:rPr>
      <w:color w:val="605E5C"/>
      <w:shd w:val="clear" w:color="auto" w:fill="E1DFDD"/>
    </w:rPr>
  </w:style>
  <w:style w:type="paragraph" w:customStyle="1" w:styleId="Default">
    <w:name w:val="Default"/>
    <w:rsid w:val="00DF021C"/>
    <w:pPr>
      <w:autoSpaceDE w:val="0"/>
      <w:autoSpaceDN w:val="0"/>
      <w:adjustRightInd w:val="0"/>
    </w:pPr>
    <w:rPr>
      <w:rFonts w:ascii="Cambria" w:hAnsi="Cambria" w:cs="Cambria"/>
      <w:color w:val="000000"/>
      <w:lang w:val="en-US"/>
    </w:rPr>
  </w:style>
  <w:style w:type="character" w:customStyle="1" w:styleId="Heading3Char">
    <w:name w:val="Heading 3 Char"/>
    <w:basedOn w:val="DefaultParagraphFont"/>
    <w:link w:val="Heading3"/>
    <w:uiPriority w:val="9"/>
    <w:rsid w:val="00153B21"/>
    <w:rPr>
      <w:rFonts w:ascii="Lato" w:eastAsia="Arial" w:hAnsi="Lato" w:cstheme="minorHAnsi"/>
      <w:bCs/>
      <w:color w:val="006A78"/>
      <w:spacing w:val="-1"/>
      <w:kern w:val="0"/>
      <w:sz w:val="28"/>
      <w:szCs w:val="32"/>
      <w:lang w:val="en"/>
    </w:rPr>
  </w:style>
  <w:style w:type="table" w:styleId="GridTable4">
    <w:name w:val="Grid Table 4"/>
    <w:basedOn w:val="TableNormal"/>
    <w:uiPriority w:val="49"/>
    <w:rsid w:val="00C16153"/>
    <w:rPr>
      <w:sz w:val="22"/>
      <w:szCs w:val="22"/>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1">
    <w:name w:val="Current List1"/>
    <w:uiPriority w:val="99"/>
    <w:rsid w:val="00852D32"/>
  </w:style>
  <w:style w:type="paragraph" w:customStyle="1" w:styleId="TOCBody">
    <w:name w:val="TOC Body"/>
    <w:basedOn w:val="TOC1"/>
    <w:qFormat/>
    <w:rsid w:val="00A84922"/>
  </w:style>
  <w:style w:type="character" w:customStyle="1" w:styleId="SubtitleChar">
    <w:name w:val="Subtitle Char"/>
    <w:basedOn w:val="DefaultParagraphFont"/>
    <w:link w:val="Subtitle"/>
    <w:uiPriority w:val="11"/>
    <w:rsid w:val="008057C0"/>
    <w:rPr>
      <w:rFonts w:ascii="Lato" w:eastAsia="Franklin Gothic Book" w:hAnsi="Lato" w:cs="Times New Roman"/>
      <w:b/>
      <w:bCs/>
      <w:noProof/>
      <w:color w:val="00274A"/>
      <w:spacing w:val="-10"/>
      <w:kern w:val="20"/>
      <w:sz w:val="72"/>
      <w:szCs w:val="160"/>
      <w:lang w:val="en-US" w:eastAsia="ja-JP"/>
    </w:rPr>
  </w:style>
  <w:style w:type="paragraph" w:styleId="NormalWeb">
    <w:name w:val="Normal (Web)"/>
    <w:basedOn w:val="Normal"/>
    <w:uiPriority w:val="99"/>
    <w:semiHidden/>
    <w:unhideWhenUsed/>
    <w:rsid w:val="00764B82"/>
    <w:pPr>
      <w:spacing w:before="100" w:beforeAutospacing="1" w:after="100" w:afterAutospacing="1" w:line="240" w:lineRule="auto"/>
    </w:pPr>
    <w:rPr>
      <w:rFonts w:ascii="Times New Roman" w:eastAsia="Times New Roman" w:hAnsi="Times New Roman" w:cs="Times New Roman"/>
      <w:lang w:val="en-CA"/>
    </w:rPr>
  </w:style>
  <w:style w:type="character" w:customStyle="1" w:styleId="Heading4Char">
    <w:name w:val="Heading 4 Char"/>
    <w:basedOn w:val="DefaultParagraphFont"/>
    <w:link w:val="Heading4"/>
    <w:uiPriority w:val="9"/>
    <w:rsid w:val="00004241"/>
    <w:rPr>
      <w:rFonts w:ascii="Arial" w:hAnsi="Arial"/>
      <w:i/>
      <w:iCs/>
      <w:kern w:val="0"/>
      <w:szCs w:val="22"/>
    </w:rPr>
  </w:style>
  <w:style w:type="character" w:customStyle="1" w:styleId="Heading5Char">
    <w:name w:val="Heading 5 Char"/>
    <w:basedOn w:val="DefaultParagraphFont"/>
    <w:link w:val="Heading5"/>
    <w:uiPriority w:val="9"/>
    <w:rsid w:val="00004241"/>
    <w:rPr>
      <w:rFonts w:ascii="Arial" w:hAnsi="Arial"/>
      <w:i/>
      <w:iCs/>
      <w:color w:val="006A78"/>
      <w:kern w:val="0"/>
      <w:szCs w:val="22"/>
    </w:rPr>
  </w:style>
  <w:style w:type="character" w:customStyle="1" w:styleId="Heading6Char">
    <w:name w:val="Heading 6 Char"/>
    <w:basedOn w:val="DefaultParagraphFont"/>
    <w:link w:val="Heading6"/>
    <w:uiPriority w:val="9"/>
    <w:rsid w:val="00056B37"/>
    <w:rPr>
      <w:rFonts w:ascii="Arial" w:hAnsi="Arial"/>
      <w:kern w:val="0"/>
      <w:szCs w:val="22"/>
    </w:rPr>
  </w:style>
  <w:style w:type="paragraph" w:styleId="ListBullet">
    <w:name w:val="List Bullet"/>
    <w:basedOn w:val="Normal"/>
    <w:uiPriority w:val="99"/>
    <w:semiHidden/>
    <w:unhideWhenUsed/>
    <w:rsid w:val="00056B37"/>
    <w:pPr>
      <w:tabs>
        <w:tab w:val="num" w:pos="720"/>
      </w:tabs>
      <w:ind w:left="720" w:hanging="720"/>
      <w:contextualSpacing/>
    </w:pPr>
  </w:style>
  <w:style w:type="table" w:customStyle="1" w:styleId="a">
    <w:basedOn w:val="TableNormal"/>
    <w:rPr>
      <w:sz w:val="22"/>
      <w:szCs w:val="22"/>
    </w:rPr>
    <w:tblPr>
      <w:tblStyleRowBandSize w:val="1"/>
      <w:tblStyleColBandSize w:val="1"/>
    </w:tblPr>
  </w:style>
  <w:style w:type="paragraph" w:styleId="Subtitle">
    <w:name w:val="Subtitle"/>
    <w:basedOn w:val="Normal"/>
    <w:next w:val="Normal"/>
    <w:link w:val="SubtitleChar"/>
    <w:uiPriority w:val="11"/>
    <w:qFormat/>
    <w:pPr>
      <w:spacing w:after="0" w:line="240" w:lineRule="auto"/>
    </w:pPr>
    <w:rPr>
      <w:rFonts w:ascii="Lato" w:eastAsia="Lato" w:hAnsi="Lato" w:cs="Lato"/>
      <w:b/>
      <w:color w:val="00274A"/>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pp.cyberimpact.com/newsletter-view-online?ct=d_jkymqURMQf1PUBIZ2RG-jUkzVjBDkDLALTwu76xuapaHqKwU_N6Ynm0sa3bEaXf1i1RqI6e6b580fsQeGwPhLES_AFJlIdWdkSDKcpu3sMKFcsFou5P0YI8ez1MauVC98ypA3SXFQTPWg0fQ2uh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hdrn.ca/en/categories/big-ideas/" TargetMode="External"/><Relationship Id="rId17" Type="http://schemas.openxmlformats.org/officeDocument/2006/relationships/hyperlink" Target="https://app.cyberimpact.com/newsletter-view-online?ct=VcIkZhzwpWKmTXukB70rf62UgN2L7YeEiraMxGiwLk_vZNNVlw0iqI0S4LAeexFTuINYcA8PiLyKN7_KESNfXOBnp490f9eyG2B6jx7RwAWrJIBBrUFdaHyq87MVNf6T" TargetMode="External"/><Relationship Id="rId2" Type="http://schemas.openxmlformats.org/officeDocument/2006/relationships/numbering" Target="numbering.xml"/><Relationship Id="rId16" Type="http://schemas.openxmlformats.org/officeDocument/2006/relationships/hyperlink" Target="https://app.cyberimpact.com/newsletter-view-online?ct=dBTKo7TxsYLL19nAr-ZboLxuBLPu1SnQQho8M4cJUCUg4qsaqCr9L4N1z596p7toWjPWXywXqckBTj-d377X5ZA-00qeCwwB-ToBflX-WQ0l5yWMqgfdHyq56MUEJCKv"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tes.google.com/view/pragmatictrialstraining" TargetMode="External"/><Relationship Id="rId5" Type="http://schemas.openxmlformats.org/officeDocument/2006/relationships/webSettings" Target="webSettings.xml"/><Relationship Id="rId15" Type="http://schemas.openxmlformats.org/officeDocument/2006/relationships/hyperlink" Target="https://app.cyberimpact.com/newsletter-view-online?ct=1HcJamHLtDelyEnkXIhfk11xmf5k1kfzizG673gqCbPM2r7iiO_UB7VTRCIBQD9ozV7ZlzPnClc1rPzVFpw1duPIK6numPv56zOTTkLI8VSddcxWUR_5jw71XluG1kXc" TargetMode="External"/><Relationship Id="rId10" Type="http://schemas.openxmlformats.org/officeDocument/2006/relationships/hyperlink" Target="https://saildatabank.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hdrn.ca/en/news/multi-regional-data-supports-the-largest-randomized-trial-ever-conducted-by-canadian-primary-care/" TargetMode="External"/><Relationship Id="rId14" Type="http://schemas.openxmlformats.org/officeDocument/2006/relationships/hyperlink" Target="https://app.cyberimpact.com/newsletter-view-online?ct=RZZef03uxIn3p4LiLHeddx0mXw1tVnYIj6AWV2_BY__5CZq8PLvRQd-fUoHN8mScvpvZCZ4ty5bY3NvXlJyn2_UIgp_ydxESuJCYKdg2p-OFHQ77DonyngtHI6JucNSw"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PJs+gfqaixVLmq0ChEwLTE2RwQ==">CgMxLjAaDQoBMBIICgYIBTICCAEyDmgueHdtM3pmNWZqMDdwMg5oLnl1aXpnZWNxeHNjcjIIaC50eWpjd3QyCWguM2R5NnZrbTIJaC4xdDNoNXNmMgloLjRkMzRvZzgyCWguMnM4ZXlvMTIJaC4xN2RwOHZ1MgloLjNyZGNyam4yDmguNndneGR4ODdxbzFmOABqJQoUc3VnZ2VzdC5wbXF3dTFjZWxhYmYSDUthdGUgTWlsYmVycnlyITFndk1DanE4cUNoSmExNFdxS2tZUHZGYXY4Y2JXYWVI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2303</Words>
  <Characters>12989</Characters>
  <Application>Microsoft Office Word</Application>
  <DocSecurity>2</DocSecurity>
  <Lines>232</Lines>
  <Paragraphs>125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HDRN Canada</dc:creator>
  <cp:keywords/>
  <dc:description/>
  <cp:lastModifiedBy>Henderson, Marjorie</cp:lastModifiedBy>
  <cp:revision>4</cp:revision>
  <dcterms:created xsi:type="dcterms:W3CDTF">2025-08-07T18:36:00Z</dcterms:created>
  <dcterms:modified xsi:type="dcterms:W3CDTF">2025-08-07T18:37:00Z</dcterms:modified>
  <cp:category/>
</cp:coreProperties>
</file>